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黑体"/>
          <w:sz w:val="32"/>
          <w:szCs w:val="32"/>
          <w:lang w:val="en-US" w:eastAsia="zh-CN"/>
        </w:rPr>
      </w:pPr>
      <w:r>
        <w:rPr>
          <w:rFonts w:hint="eastAsia" w:ascii="仿宋" w:hAnsi="仿宋" w:eastAsia="仿宋" w:cs="黑体"/>
          <w:sz w:val="32"/>
          <w:szCs w:val="32"/>
        </w:rPr>
        <w:t>附件</w:t>
      </w:r>
      <w:r>
        <w:rPr>
          <w:rFonts w:hint="eastAsia" w:ascii="仿宋" w:hAnsi="仿宋" w:eastAsia="仿宋" w:cs="黑体"/>
          <w:sz w:val="32"/>
          <w:szCs w:val="32"/>
          <w:lang w:val="en-US" w:eastAsia="zh-CN"/>
        </w:rPr>
        <w:t>1</w:t>
      </w:r>
      <w:bookmarkStart w:id="4" w:name="_GoBack"/>
      <w:bookmarkEnd w:id="4"/>
    </w:p>
    <w:p>
      <w:pPr>
        <w:spacing w:before="156" w:beforeLines="50" w:line="560" w:lineRule="exact"/>
        <w:jc w:val="center"/>
        <w:rPr>
          <w:rFonts w:ascii="黑体" w:hAnsi="黑体" w:eastAsia="黑体" w:cs="黑体"/>
          <w:sz w:val="36"/>
          <w:szCs w:val="36"/>
        </w:rPr>
      </w:pPr>
      <w:r>
        <w:rPr>
          <w:rFonts w:hint="eastAsia" w:ascii="黑体" w:hAnsi="黑体" w:eastAsia="黑体" w:cs="黑体"/>
          <w:sz w:val="36"/>
          <w:szCs w:val="36"/>
        </w:rPr>
        <w:t>厦门市建设工程质量安全管理协会关于福建省建设工程省级优质工程（闽江杯）推荐工作暂行办法</w:t>
      </w:r>
    </w:p>
    <w:p>
      <w:pPr>
        <w:spacing w:before="156" w:beforeLines="50"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第一条</w:t>
      </w:r>
      <w:r>
        <w:rPr>
          <w:rFonts w:hint="eastAsia" w:ascii="仿宋" w:hAnsi="仿宋" w:eastAsia="仿宋" w:cs="仿宋"/>
          <w:sz w:val="32"/>
          <w:szCs w:val="32"/>
        </w:rPr>
        <w:t xml:space="preserve">  为进一步规范“福建省建设工程省级优质工程（闽江杯）”（以下简称省优工程）推荐工作，结合我市行业实际，制定本办法。</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第二条</w:t>
      </w:r>
      <w:r>
        <w:rPr>
          <w:rFonts w:hint="eastAsia" w:ascii="仿宋" w:hAnsi="仿宋" w:eastAsia="仿宋" w:cs="仿宋"/>
          <w:sz w:val="32"/>
          <w:szCs w:val="32"/>
        </w:rPr>
        <w:t xml:space="preserve">  省优工程评定工作由福建省工程建设质量安全协会（以下简称省质安协会）组织，为福建省建设工程最高质量奖。</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第三条</w:t>
      </w:r>
      <w:r>
        <w:rPr>
          <w:rFonts w:hint="eastAsia" w:ascii="仿宋" w:hAnsi="仿宋" w:eastAsia="仿宋" w:cs="仿宋"/>
          <w:sz w:val="32"/>
          <w:szCs w:val="32"/>
        </w:rPr>
        <w:t xml:space="preserve">  厦门市建设工程质量安全管理协会（以下简称质协）依据省优工程评定有关规定，组织我市省优工程推荐工作。</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第四条</w:t>
      </w:r>
      <w:r>
        <w:rPr>
          <w:rFonts w:hint="eastAsia" w:ascii="仿宋" w:hAnsi="仿宋" w:eastAsia="仿宋" w:cs="仿宋"/>
          <w:sz w:val="32"/>
          <w:szCs w:val="32"/>
        </w:rPr>
        <w:t xml:space="preserve">  省优工程推荐是在自愿申报的基础上遵循“公开、公平、公正”和“好中选优、优中选优”的原则。</w:t>
      </w:r>
    </w:p>
    <w:p>
      <w:pPr>
        <w:spacing w:line="560" w:lineRule="exact"/>
        <w:ind w:firstLine="643" w:firstLineChars="200"/>
        <w:rPr>
          <w:rFonts w:ascii="仿宋" w:hAnsi="仿宋" w:eastAsia="仿宋" w:cs="仿宋"/>
          <w:sz w:val="32"/>
          <w:szCs w:val="32"/>
        </w:rPr>
      </w:pPr>
      <w:bookmarkStart w:id="0" w:name="_Hlk108392005"/>
      <w:bookmarkEnd w:id="0"/>
      <w:r>
        <w:rPr>
          <w:rFonts w:hint="eastAsia" w:ascii="楷体" w:hAnsi="楷体" w:eastAsia="楷体" w:cs="楷体"/>
          <w:b/>
          <w:bCs/>
          <w:sz w:val="32"/>
          <w:szCs w:val="32"/>
        </w:rPr>
        <w:t>第五条</w:t>
      </w:r>
      <w:r>
        <w:rPr>
          <w:rFonts w:hint="eastAsia" w:ascii="仿宋" w:hAnsi="仿宋" w:eastAsia="仿宋" w:cs="仿宋"/>
          <w:sz w:val="32"/>
          <w:szCs w:val="32"/>
        </w:rPr>
        <w:t xml:space="preserve">  省优工程年度推荐数量依据省质安协会每年公布的各设区市分配名额确定。</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第六条</w:t>
      </w:r>
      <w:r>
        <w:rPr>
          <w:rFonts w:hint="eastAsia" w:ascii="仿宋" w:hAnsi="仿宋" w:eastAsia="仿宋" w:cs="仿宋"/>
          <w:sz w:val="32"/>
          <w:szCs w:val="32"/>
        </w:rPr>
        <w:t xml:space="preserve">  省优工程推荐工作分“项目申报”、“现场评定”、 “推荐候选项目抽查”、“评审会议评审”、“推荐项目公示和报送”等五个阶段进行。</w:t>
      </w:r>
    </w:p>
    <w:p>
      <w:pPr>
        <w:pStyle w:val="4"/>
        <w:spacing w:before="0" w:beforeAutospacing="0" w:after="0" w:afterAutospacing="0" w:line="560" w:lineRule="exact"/>
        <w:ind w:firstLine="643" w:firstLineChars="200"/>
        <w:jc w:val="both"/>
        <w:rPr>
          <w:rFonts w:ascii="仿宋" w:hAnsi="仿宋" w:eastAsia="仿宋"/>
          <w:sz w:val="32"/>
          <w:szCs w:val="32"/>
        </w:rPr>
      </w:pPr>
      <w:r>
        <w:rPr>
          <w:rFonts w:hint="eastAsia" w:ascii="楷体" w:hAnsi="楷体" w:eastAsia="楷体"/>
          <w:b/>
          <w:bCs/>
          <w:sz w:val="32"/>
          <w:szCs w:val="32"/>
        </w:rPr>
        <w:t xml:space="preserve">第七条  </w:t>
      </w:r>
      <w:r>
        <w:rPr>
          <w:rFonts w:hint="eastAsia" w:ascii="仿宋" w:hAnsi="仿宋" w:eastAsia="仿宋"/>
          <w:sz w:val="32"/>
          <w:szCs w:val="32"/>
        </w:rPr>
        <w:t>与申报项目有利害关系的人员，推荐工作全程回避。</w:t>
      </w:r>
    </w:p>
    <w:p>
      <w:pPr>
        <w:spacing w:line="560" w:lineRule="exact"/>
        <w:ind w:firstLine="640" w:firstLineChars="200"/>
        <w:textAlignment w:val="center"/>
        <w:rPr>
          <w:rFonts w:ascii="仿宋" w:hAnsi="仿宋" w:eastAsia="仿宋" w:cs="宋体"/>
          <w:kern w:val="0"/>
          <w:sz w:val="32"/>
          <w:szCs w:val="32"/>
        </w:rPr>
      </w:pPr>
      <w:r>
        <w:rPr>
          <w:rFonts w:hint="eastAsia" w:ascii="仿宋" w:hAnsi="仿宋" w:eastAsia="仿宋" w:cs="宋体"/>
          <w:kern w:val="0"/>
          <w:sz w:val="32"/>
          <w:szCs w:val="32"/>
        </w:rPr>
        <w:t>利害关系主要是指：</w:t>
      </w:r>
    </w:p>
    <w:p>
      <w:pPr>
        <w:spacing w:line="560" w:lineRule="exact"/>
        <w:ind w:firstLine="640" w:firstLineChars="200"/>
        <w:textAlignment w:val="center"/>
        <w:rPr>
          <w:rFonts w:ascii="仿宋" w:hAnsi="仿宋" w:eastAsia="仿宋" w:cs="宋体"/>
          <w:kern w:val="0"/>
          <w:sz w:val="32"/>
          <w:szCs w:val="32"/>
        </w:rPr>
      </w:pPr>
      <w:r>
        <w:rPr>
          <w:rFonts w:hint="eastAsia" w:ascii="仿宋" w:hAnsi="仿宋" w:eastAsia="仿宋" w:cs="宋体"/>
          <w:kern w:val="0"/>
          <w:sz w:val="32"/>
          <w:szCs w:val="32"/>
        </w:rPr>
        <w:t>（一）三年内曾在申报项目参建单位（含建设、监理、施工、设计等单位）中任职或担任顾问。</w:t>
      </w:r>
    </w:p>
    <w:p>
      <w:pPr>
        <w:spacing w:line="560" w:lineRule="exact"/>
        <w:ind w:firstLine="640" w:firstLineChars="200"/>
        <w:textAlignment w:val="center"/>
        <w:rPr>
          <w:rFonts w:ascii="仿宋" w:hAnsi="仿宋" w:eastAsia="仿宋" w:cs="宋体"/>
          <w:kern w:val="0"/>
          <w:sz w:val="32"/>
          <w:szCs w:val="32"/>
        </w:rPr>
      </w:pPr>
      <w:r>
        <w:rPr>
          <w:rFonts w:hint="eastAsia" w:ascii="仿宋" w:hAnsi="仿宋" w:eastAsia="仿宋" w:cs="宋体"/>
          <w:kern w:val="0"/>
          <w:sz w:val="32"/>
          <w:szCs w:val="32"/>
        </w:rPr>
        <w:t>（二</w:t>
      </w:r>
      <w:r>
        <w:rPr>
          <w:rFonts w:ascii="仿宋" w:hAnsi="仿宋" w:eastAsia="仿宋" w:cs="宋体"/>
          <w:kern w:val="0"/>
          <w:sz w:val="32"/>
          <w:szCs w:val="32"/>
        </w:rPr>
        <w:t>）</w:t>
      </w:r>
      <w:r>
        <w:rPr>
          <w:rFonts w:hint="eastAsia" w:ascii="仿宋" w:hAnsi="仿宋" w:eastAsia="仿宋" w:cs="宋体"/>
          <w:kern w:val="0"/>
          <w:sz w:val="32"/>
          <w:szCs w:val="32"/>
        </w:rPr>
        <w:t>目前在申报项目参建单位（含建设、监理、施工、设计等单位）的上级主管、控股或被控股单位任职或担任顾问。</w:t>
      </w:r>
    </w:p>
    <w:p>
      <w:pPr>
        <w:spacing w:line="560" w:lineRule="exact"/>
        <w:ind w:firstLine="640" w:firstLineChars="200"/>
        <w:textAlignment w:val="center"/>
        <w:rPr>
          <w:rFonts w:ascii="仿宋" w:hAnsi="仿宋" w:eastAsia="仿宋" w:cs="宋体"/>
          <w:kern w:val="0"/>
          <w:sz w:val="32"/>
          <w:szCs w:val="32"/>
        </w:rPr>
      </w:pPr>
      <w:r>
        <w:rPr>
          <w:rFonts w:hint="eastAsia" w:ascii="仿宋" w:hAnsi="仿宋" w:eastAsia="仿宋" w:cs="宋体"/>
          <w:kern w:val="0"/>
          <w:sz w:val="32"/>
          <w:szCs w:val="32"/>
        </w:rPr>
        <w:t>（三）配偶或直系亲属在申报项目参建单位（含建设、监理、施工、设计等单位）中任职或担任顾问。</w:t>
      </w:r>
    </w:p>
    <w:p>
      <w:pPr>
        <w:pStyle w:val="9"/>
        <w:spacing w:line="560" w:lineRule="exact"/>
        <w:ind w:firstLine="640"/>
        <w:textAlignment w:val="center"/>
        <w:rPr>
          <w:rFonts w:ascii="仿宋" w:hAnsi="仿宋" w:eastAsia="仿宋" w:cs="宋体"/>
          <w:kern w:val="0"/>
          <w:sz w:val="32"/>
          <w:szCs w:val="32"/>
        </w:rPr>
      </w:pPr>
      <w:r>
        <w:rPr>
          <w:rFonts w:hint="eastAsia" w:ascii="仿宋" w:hAnsi="仿宋" w:eastAsia="仿宋" w:cs="宋体"/>
          <w:kern w:val="0"/>
          <w:sz w:val="32"/>
          <w:szCs w:val="32"/>
        </w:rPr>
        <w:t>（四）与申报项目参建单位（含建设、监理、施工、设计等单位）存在其他可能影响工作公平、公正的关系。</w:t>
      </w:r>
    </w:p>
    <w:p>
      <w:pPr>
        <w:spacing w:before="156" w:beforeLines="50" w:line="560" w:lineRule="exact"/>
        <w:jc w:val="center"/>
        <w:rPr>
          <w:rFonts w:ascii="黑体" w:hAnsi="黑体" w:eastAsia="黑体" w:cs="黑体"/>
          <w:sz w:val="32"/>
          <w:szCs w:val="32"/>
        </w:rPr>
      </w:pPr>
      <w:r>
        <w:rPr>
          <w:rFonts w:hint="eastAsia" w:ascii="黑体" w:hAnsi="黑体" w:eastAsia="黑体" w:cs="黑体"/>
          <w:sz w:val="32"/>
          <w:szCs w:val="32"/>
        </w:rPr>
        <w:t>第二章  项目申报</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第八条</w:t>
      </w:r>
      <w:r>
        <w:rPr>
          <w:rFonts w:hint="eastAsia" w:ascii="仿宋" w:hAnsi="仿宋" w:eastAsia="仿宋" w:cs="仿宋"/>
          <w:sz w:val="32"/>
          <w:szCs w:val="32"/>
        </w:rPr>
        <w:t xml:space="preserve">  组织省优工程推荐工作前，质协在网站公布省质安协会开展年度省优工程推荐工作的相关文件，明确该年度省优工程申报条件和推荐条件。</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 xml:space="preserve">第九条  </w:t>
      </w:r>
      <w:r>
        <w:rPr>
          <w:rFonts w:hint="eastAsia" w:ascii="仿宋" w:hAnsi="仿宋" w:eastAsia="仿宋" w:cs="仿宋"/>
          <w:sz w:val="32"/>
          <w:szCs w:val="32"/>
        </w:rPr>
        <w:t>符合申报要求的工程项目，按照省优工程推荐工作相关文件的要求，向质协提交申报材料（报送材料清单和报送形式以质协申报通知为准）。</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第十条</w:t>
      </w:r>
      <w:r>
        <w:rPr>
          <w:rFonts w:hint="eastAsia" w:ascii="仿宋" w:hAnsi="仿宋" w:eastAsia="仿宋" w:cs="仿宋"/>
          <w:sz w:val="32"/>
          <w:szCs w:val="32"/>
        </w:rPr>
        <w:t xml:space="preserve">  经质协审核符合要求的申报项目名单在质协网站公示三天。公示期无异议的，进入现场评定程序；公示期有异议的，由质协组织复核，复核未通过的不予申报。</w:t>
      </w:r>
    </w:p>
    <w:p>
      <w:pPr>
        <w:spacing w:before="156" w:beforeLines="50" w:line="560" w:lineRule="exact"/>
        <w:jc w:val="center"/>
        <w:rPr>
          <w:rFonts w:ascii="黑体" w:hAnsi="黑体" w:eastAsia="黑体" w:cs="黑体"/>
          <w:sz w:val="32"/>
          <w:szCs w:val="32"/>
        </w:rPr>
      </w:pPr>
      <w:r>
        <w:rPr>
          <w:rFonts w:hint="eastAsia" w:ascii="黑体" w:hAnsi="黑体" w:eastAsia="黑体" w:cs="黑体"/>
          <w:sz w:val="32"/>
          <w:szCs w:val="32"/>
        </w:rPr>
        <w:t>第三章  现场评定</w:t>
      </w:r>
    </w:p>
    <w:p>
      <w:pPr>
        <w:pStyle w:val="4"/>
        <w:spacing w:before="0" w:beforeAutospacing="0" w:after="0" w:afterAutospacing="0" w:line="560" w:lineRule="exact"/>
        <w:ind w:firstLine="643" w:firstLineChars="200"/>
        <w:jc w:val="both"/>
        <w:rPr>
          <w:rFonts w:ascii="仿宋" w:hAnsi="仿宋" w:eastAsia="仿宋" w:cs="仿宋"/>
          <w:sz w:val="32"/>
          <w:szCs w:val="32"/>
        </w:rPr>
      </w:pPr>
      <w:bookmarkStart w:id="1" w:name="_Hlk115020495"/>
      <w:bookmarkEnd w:id="1"/>
      <w:r>
        <w:rPr>
          <w:rFonts w:hint="eastAsia" w:ascii="楷体" w:hAnsi="楷体" w:eastAsia="楷体" w:cs="楷体"/>
          <w:b/>
          <w:bCs/>
          <w:sz w:val="32"/>
          <w:szCs w:val="32"/>
        </w:rPr>
        <w:t>第十一条</w:t>
      </w:r>
      <w:r>
        <w:rPr>
          <w:rFonts w:hint="eastAsia" w:ascii="仿宋" w:hAnsi="仿宋" w:eastAsia="仿宋" w:cs="仿宋"/>
          <w:sz w:val="32"/>
          <w:szCs w:val="32"/>
        </w:rPr>
        <w:t xml:space="preserve">  质协根据专业类别（房屋建筑工程、市政基础设施工程），原则上各设立一组现场评定专家组（以下简称专家组）负责现场评定。专家组设组长一名，组员三名（土建、机电、内业核查各一名），从质协工程质量评价专家库中抽取，采取回避制度。质协领导随队监督。</w:t>
      </w:r>
    </w:p>
    <w:p>
      <w:pPr>
        <w:pStyle w:val="4"/>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专家组成员在现场评定前一天由秘书处人员在抽取系统随机抽取组成。专家组组长在组长库中抽取，专家组组员在组员库中抽取。抽取及通知专家过程全程摄像留存。专家组在现场评定前应签订廉政承诺书，书面保证与申报项目无利害关系，可公正独立完成评定工作。</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第十二条</w:t>
      </w:r>
      <w:r>
        <w:rPr>
          <w:rFonts w:hint="eastAsia" w:ascii="仿宋" w:hAnsi="仿宋" w:eastAsia="仿宋" w:cs="仿宋"/>
          <w:sz w:val="32"/>
          <w:szCs w:val="32"/>
        </w:rPr>
        <w:t xml:space="preserve">  现场评定程序：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（一）听取承建单位简要汇报（PPT格式）。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（二）查看施工图纸、工程施工与质量验收等工程资料，核对创优工程附加分项目与分值。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（三）对工程实体质量进行现场评定：</w:t>
      </w:r>
    </w:p>
    <w:p>
      <w:pPr>
        <w:spacing w:line="560" w:lineRule="exact"/>
        <w:ind w:firstLine="640" w:firstLineChars="200"/>
        <w:rPr>
          <w:rFonts w:ascii="仿宋" w:hAnsi="仿宋" w:eastAsia="仿宋" w:cstheme="minorBidi"/>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theme="minorBidi"/>
          <w:sz w:val="32"/>
          <w:szCs w:val="32"/>
        </w:rPr>
        <w:t>提供抽取的样本量、主要部位应满足现场检查要求，其中房屋建筑工程应符合下列规定：</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（1）公共建筑工程：不少于该工程建筑面积的90%。</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（2）住宅工程：室内公共部分不少于室内公共部分建筑面积的90%；分户套数不宜少于该工程现场检查所抽查套数的4倍，且不少于20套（包括住户自行装修的套数在内）。</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（3）商住楼工程：住宅部分与非住宅部分分别按本条住宅工程与公共建筑工程的相关规定执行。</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4）建筑物的外立面、屋面、顶层、首层、标准层、地下室、主要公共部位(电梯前室、楼梯间、公共走道等)、结构转换层、超高层建筑避难层、各种机房、强（弱）电间、管道间、设备及管线等主要部位应满足现场检查的要求。</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kern w:val="0"/>
          <w:sz w:val="32"/>
          <w:szCs w:val="32"/>
        </w:rPr>
        <w:t>不得以任何理由回避或拒绝专家组对工程部位的检查要求；抽取后的样本若无法检查的，应在其余的样本中更换一套；若更换后样本仍无法检查的，应视为提供抽取的样本量不满足现场检查要求。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工程实体质量现场检查的抽查量应符合下列规定：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（1）公共建筑工程：不少于该工程建筑面积的10%。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（2）住宅工程：室内公共部分抽查量不宜少于室内公共部分建筑面积的10%，分户套数不宜少于该工程总套数的5%，且不少于5套。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（3）商住楼工程：住宅部分按住宅工程的规定抽取，非住宅部分按公共建筑工程的规定抽取。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（4）房屋建筑工程的室外墙面、屋面、地下室外墙应全数检查，其他部位随机抽取分部分项工程进行检查。</w:t>
      </w:r>
    </w:p>
    <w:p>
      <w:pPr>
        <w:pStyle w:val="2"/>
        <w:spacing w:line="560" w:lineRule="exact"/>
        <w:ind w:firstLine="640" w:firstLineChars="200"/>
        <w:jc w:val="both"/>
        <w:rPr>
          <w:rFonts w:ascii="仿宋" w:hAnsi="仿宋" w:eastAsia="仿宋" w:cs="仿宋"/>
          <w:sz w:val="32"/>
          <w:szCs w:val="32"/>
        </w:rPr>
      </w:pPr>
      <w:r>
        <w:rPr>
          <w:rFonts w:hint="eastAsia" w:ascii="仿宋" w:hAnsi="仿宋" w:eastAsia="仿宋"/>
          <w:sz w:val="32"/>
          <w:szCs w:val="32"/>
        </w:rPr>
        <w:t>（四）每个项目检查完毕，专家组依据</w:t>
      </w:r>
      <w:r>
        <w:rPr>
          <w:rFonts w:hint="eastAsia" w:ascii="仿宋" w:hAnsi="仿宋" w:eastAsia="仿宋" w:cs="仿宋"/>
          <w:sz w:val="32"/>
          <w:szCs w:val="32"/>
        </w:rPr>
        <w:t>省优工程评定有关规定</w:t>
      </w:r>
      <w:r>
        <w:rPr>
          <w:rFonts w:hint="eastAsia" w:ascii="仿宋" w:hAnsi="仿宋" w:eastAsia="仿宋"/>
          <w:sz w:val="32"/>
          <w:szCs w:val="32"/>
        </w:rPr>
        <w:t>对项目进行评分。现场评定、评分过程全程摄像留存。评分完成后相关资料立即封装，</w:t>
      </w:r>
      <w:r>
        <w:rPr>
          <w:rFonts w:hint="eastAsia" w:ascii="仿宋" w:hAnsi="仿宋" w:eastAsia="仿宋" w:cs="仿宋"/>
          <w:sz w:val="32"/>
          <w:szCs w:val="32"/>
        </w:rPr>
        <w:t>提交质协秘书处。</w:t>
      </w:r>
    </w:p>
    <w:p>
      <w:pPr>
        <w:pStyle w:val="2"/>
        <w:spacing w:line="560" w:lineRule="exact"/>
        <w:ind w:firstLine="643" w:firstLineChars="200"/>
        <w:jc w:val="both"/>
        <w:rPr>
          <w:rFonts w:ascii="仿宋" w:hAnsi="仿宋" w:eastAsia="仿宋" w:cs="仿宋"/>
          <w:sz w:val="32"/>
          <w:szCs w:val="32"/>
        </w:rPr>
      </w:pPr>
      <w:r>
        <w:rPr>
          <w:rFonts w:hint="eastAsia" w:ascii="楷体" w:hAnsi="楷体" w:eastAsia="楷体" w:cs="楷体"/>
          <w:b/>
          <w:sz w:val="32"/>
          <w:szCs w:val="32"/>
        </w:rPr>
        <w:t>第十三条</w:t>
      </w:r>
      <w:r>
        <w:rPr>
          <w:rFonts w:hint="eastAsia" w:ascii="仿宋" w:hAnsi="仿宋" w:eastAsia="仿宋" w:cs="仿宋"/>
          <w:sz w:val="32"/>
          <w:szCs w:val="32"/>
        </w:rPr>
        <w:t xml:space="preserve">  现场评定工作全部结束后，质协秘书处统一拆封评价资料，并严格按照评定专家组的评价结果，汇总全部申报项目的评分排序。汇总过程全程摄像留存。</w:t>
      </w:r>
    </w:p>
    <w:p>
      <w:pPr>
        <w:pStyle w:val="9"/>
        <w:spacing w:line="560" w:lineRule="exact"/>
        <w:ind w:firstLine="640"/>
        <w:textAlignment w:val="center"/>
        <w:rPr>
          <w:rFonts w:ascii="黑体" w:hAnsi="黑体" w:eastAsia="黑体" w:cs="黑体"/>
          <w:sz w:val="32"/>
          <w:szCs w:val="32"/>
        </w:rPr>
      </w:pPr>
      <w:r>
        <w:rPr>
          <w:rFonts w:hint="eastAsia" w:ascii="仿宋" w:hAnsi="仿宋" w:eastAsia="仿宋" w:cs="仿宋"/>
          <w:sz w:val="32"/>
          <w:szCs w:val="32"/>
        </w:rPr>
        <w:t>排序在推荐指标数量区间的项目，为省优工程推荐候选项目，进入抽查程序；排序在推荐指标数量区间外的项目，为抽查备选项目。</w:t>
      </w:r>
    </w:p>
    <w:p>
      <w:pPr>
        <w:spacing w:before="156" w:beforeLines="50" w:line="560" w:lineRule="exact"/>
        <w:jc w:val="center"/>
        <w:rPr>
          <w:rFonts w:ascii="楷体" w:hAnsi="楷体" w:eastAsia="黑体" w:cs="楷体"/>
          <w:b/>
          <w:bCs/>
          <w:sz w:val="32"/>
          <w:szCs w:val="32"/>
        </w:rPr>
      </w:pPr>
      <w:r>
        <w:rPr>
          <w:rFonts w:hint="eastAsia" w:ascii="黑体" w:hAnsi="黑体" w:eastAsia="黑体" w:cs="黑体"/>
          <w:sz w:val="32"/>
          <w:szCs w:val="32"/>
        </w:rPr>
        <w:t>第四章  推荐候选项目抽查</w:t>
      </w:r>
    </w:p>
    <w:p>
      <w:pPr>
        <w:pStyle w:val="4"/>
        <w:topLinePunct/>
        <w:spacing w:before="0" w:beforeAutospacing="0" w:after="0" w:afterAutospacing="0" w:line="560" w:lineRule="exact"/>
        <w:ind w:firstLine="643" w:firstLineChars="200"/>
        <w:jc w:val="both"/>
        <w:rPr>
          <w:rFonts w:ascii="仿宋" w:hAnsi="仿宋" w:eastAsia="仿宋" w:cs="仿宋"/>
          <w:sz w:val="32"/>
          <w:szCs w:val="32"/>
        </w:rPr>
      </w:pPr>
      <w:r>
        <w:rPr>
          <w:rFonts w:hint="eastAsia" w:ascii="楷体" w:hAnsi="楷体" w:eastAsia="楷体" w:cs="楷体"/>
          <w:b/>
          <w:sz w:val="32"/>
          <w:szCs w:val="32"/>
        </w:rPr>
        <w:t xml:space="preserve">第十四条  </w:t>
      </w:r>
      <w:r>
        <w:rPr>
          <w:rFonts w:hint="eastAsia" w:ascii="仿宋" w:hAnsi="仿宋" w:eastAsia="仿宋" w:cs="仿宋"/>
          <w:bCs/>
          <w:sz w:val="32"/>
          <w:szCs w:val="32"/>
        </w:rPr>
        <w:t>质协建立</w:t>
      </w:r>
      <w:r>
        <w:rPr>
          <w:rFonts w:hint="eastAsia" w:ascii="仿宋" w:hAnsi="仿宋" w:eastAsia="仿宋" w:cs="楷体"/>
          <w:bCs/>
          <w:sz w:val="32"/>
          <w:szCs w:val="32"/>
        </w:rPr>
        <w:t>省优工程</w:t>
      </w:r>
      <w:r>
        <w:rPr>
          <w:rFonts w:hint="eastAsia" w:ascii="仿宋" w:hAnsi="仿宋" w:eastAsia="仿宋" w:cs="仿宋"/>
          <w:bCs/>
          <w:sz w:val="32"/>
          <w:szCs w:val="32"/>
        </w:rPr>
        <w:t>推荐候选项目抽查机制，由质协负责组织，可</w:t>
      </w:r>
      <w:r>
        <w:rPr>
          <w:rFonts w:hint="eastAsia" w:ascii="仿宋" w:hAnsi="仿宋" w:eastAsia="仿宋" w:cs="仿宋"/>
          <w:sz w:val="32"/>
          <w:szCs w:val="32"/>
        </w:rPr>
        <w:t>根据需要邀请行业主管部门人员或业内资深专家参与抽查，并出具抽查意见。采取项目回避制度。</w:t>
      </w:r>
    </w:p>
    <w:p>
      <w:pPr>
        <w:pStyle w:val="4"/>
        <w:topLinePunct/>
        <w:spacing w:before="0" w:beforeAutospacing="0" w:after="0" w:afterAutospacing="0" w:line="560" w:lineRule="exact"/>
        <w:ind w:firstLine="643" w:firstLineChars="200"/>
        <w:jc w:val="both"/>
        <w:rPr>
          <w:rFonts w:ascii="仿宋" w:hAnsi="仿宋" w:eastAsia="仿宋" w:cs="仿宋"/>
          <w:sz w:val="32"/>
          <w:szCs w:val="32"/>
        </w:rPr>
      </w:pPr>
      <w:r>
        <w:rPr>
          <w:rFonts w:hint="eastAsia" w:ascii="楷体" w:hAnsi="楷体" w:eastAsia="楷体" w:cs="仿宋"/>
          <w:b/>
          <w:bCs/>
          <w:sz w:val="32"/>
          <w:szCs w:val="32"/>
        </w:rPr>
        <w:t xml:space="preserve">第十五条  </w:t>
      </w:r>
      <w:r>
        <w:rPr>
          <w:rFonts w:hint="eastAsia" w:ascii="仿宋" w:hAnsi="仿宋" w:eastAsia="仿宋" w:cs="仿宋"/>
          <w:sz w:val="32"/>
          <w:szCs w:val="32"/>
        </w:rPr>
        <w:t>抽查内容包含否决项复查和评分偏差复查。抽查过程中，发现项目不满足省优工程评定有关规定的，取消该项目推荐资格；发现现场评定评分存在较大偏差且可能影响推荐项目名单结果的，由质协从工程质量评价专家库中按回避原则另外抽取专家组成专家组进行现场复核。</w:t>
      </w:r>
    </w:p>
    <w:p>
      <w:pPr>
        <w:pStyle w:val="4"/>
        <w:topLinePunct/>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质协根据取消推荐资格情况和现场复核结果从抽查备选项目中按排序确定推荐递补项目，并按上述规定程序全数进行抽查，直至达到推荐指标数量。</w:t>
      </w:r>
    </w:p>
    <w:p>
      <w:pPr>
        <w:pStyle w:val="4"/>
        <w:topLinePunct/>
        <w:spacing w:before="0" w:beforeAutospacing="0" w:after="0" w:afterAutospacing="0" w:line="560" w:lineRule="exact"/>
        <w:ind w:firstLine="643" w:firstLineChars="200"/>
        <w:jc w:val="both"/>
        <w:rPr>
          <w:rFonts w:ascii="仿宋" w:hAnsi="仿宋" w:eastAsia="仿宋" w:cs="仿宋"/>
          <w:sz w:val="32"/>
          <w:szCs w:val="32"/>
        </w:rPr>
      </w:pPr>
      <w:r>
        <w:rPr>
          <w:rFonts w:hint="eastAsia" w:ascii="楷体" w:hAnsi="楷体" w:eastAsia="楷体" w:cs="仿宋"/>
          <w:b/>
          <w:bCs/>
          <w:sz w:val="32"/>
          <w:szCs w:val="32"/>
        </w:rPr>
        <w:t xml:space="preserve">第十六条  </w:t>
      </w:r>
      <w:r>
        <w:rPr>
          <w:rFonts w:hint="eastAsia" w:ascii="仿宋" w:hAnsi="仿宋" w:eastAsia="仿宋" w:cs="仿宋"/>
          <w:sz w:val="32"/>
          <w:szCs w:val="32"/>
        </w:rPr>
        <w:t>对抽查过程中出现非因企业弄虚作假不予推荐的，约谈该项目的评定专家，一年内不再任用。</w:t>
      </w:r>
    </w:p>
    <w:p>
      <w:pPr>
        <w:pStyle w:val="4"/>
        <w:spacing w:before="156" w:beforeLines="50" w:beforeAutospacing="0" w:afterAutospacing="0" w:line="560" w:lineRule="exact"/>
        <w:jc w:val="center"/>
        <w:rPr>
          <w:rFonts w:ascii="黑体" w:hAnsi="黑体" w:eastAsia="黑体" w:cs="黑体"/>
          <w:bCs/>
          <w:sz w:val="32"/>
          <w:szCs w:val="32"/>
        </w:rPr>
      </w:pPr>
      <w:r>
        <w:rPr>
          <w:rFonts w:hint="eastAsia" w:ascii="黑体" w:hAnsi="黑体" w:eastAsia="黑体" w:cs="黑体"/>
          <w:bCs/>
          <w:sz w:val="32"/>
          <w:szCs w:val="32"/>
        </w:rPr>
        <w:t>第五章  评审会议评审</w:t>
      </w:r>
    </w:p>
    <w:p>
      <w:pPr>
        <w:pStyle w:val="4"/>
        <w:spacing w:before="0" w:beforeAutospacing="0" w:after="0" w:afterAutospacing="0" w:line="560" w:lineRule="exact"/>
        <w:ind w:firstLine="643" w:firstLineChars="200"/>
        <w:jc w:val="both"/>
        <w:rPr>
          <w:rFonts w:ascii="仿宋" w:hAnsi="仿宋" w:eastAsia="仿宋" w:cs="仿宋"/>
          <w:sz w:val="32"/>
          <w:szCs w:val="32"/>
        </w:rPr>
      </w:pPr>
      <w:bookmarkStart w:id="2" w:name="_Hlk116330782"/>
      <w:bookmarkStart w:id="3" w:name="_Hlk116246018"/>
      <w:r>
        <w:rPr>
          <w:rFonts w:hint="eastAsia" w:ascii="楷体" w:hAnsi="楷体" w:eastAsia="楷体" w:cs="楷体"/>
          <w:b/>
          <w:sz w:val="32"/>
          <w:szCs w:val="32"/>
        </w:rPr>
        <w:t>第十七条</w:t>
      </w:r>
      <w:r>
        <w:rPr>
          <w:rFonts w:hint="eastAsia" w:ascii="仿宋" w:hAnsi="仿宋" w:eastAsia="仿宋" w:cs="仿宋"/>
          <w:sz w:val="32"/>
          <w:szCs w:val="32"/>
        </w:rPr>
        <w:t xml:space="preserve">  质协设立省优工程推荐项目评审委员会（以下简称评委会），评委会成员（以下简称评委）从质协理事会成员和工程质量评价专家库随机抽取组成，采取回避制度，人数不超过15人，数量为单数。</w:t>
      </w:r>
    </w:p>
    <w:bookmarkEnd w:id="2"/>
    <w:bookmarkEnd w:id="3"/>
    <w:p>
      <w:pPr>
        <w:pStyle w:val="9"/>
        <w:spacing w:line="560" w:lineRule="exact"/>
        <w:ind w:firstLine="643"/>
        <w:textAlignment w:val="center"/>
        <w:rPr>
          <w:rFonts w:ascii="仿宋" w:hAnsi="仿宋" w:eastAsia="仿宋" w:cs="仿宋"/>
          <w:sz w:val="32"/>
          <w:szCs w:val="32"/>
        </w:rPr>
      </w:pPr>
      <w:r>
        <w:rPr>
          <w:rFonts w:hint="eastAsia" w:ascii="楷体" w:hAnsi="楷体" w:eastAsia="楷体" w:cs="仿宋"/>
          <w:b/>
          <w:bCs/>
          <w:sz w:val="32"/>
          <w:szCs w:val="32"/>
        </w:rPr>
        <w:t xml:space="preserve">第十八条  </w:t>
      </w:r>
      <w:r>
        <w:rPr>
          <w:rFonts w:hint="eastAsia" w:ascii="仿宋" w:hAnsi="仿宋" w:eastAsia="仿宋" w:cs="仿宋"/>
          <w:sz w:val="32"/>
          <w:szCs w:val="32"/>
        </w:rPr>
        <w:t>质协会长、监事长、法定代表人和秘书长列席会议，不参与审议表决。</w:t>
      </w:r>
    </w:p>
    <w:p>
      <w:pPr>
        <w:pStyle w:val="9"/>
        <w:spacing w:line="560" w:lineRule="exact"/>
        <w:ind w:firstLine="643"/>
        <w:rPr>
          <w:rFonts w:ascii="黑体" w:hAnsi="黑体" w:eastAsia="黑体" w:cs="黑体"/>
          <w:sz w:val="32"/>
          <w:szCs w:val="32"/>
        </w:rPr>
      </w:pPr>
      <w:r>
        <w:rPr>
          <w:rFonts w:hint="eastAsia" w:ascii="楷体" w:hAnsi="楷体" w:eastAsia="楷体" w:cs="楷体"/>
          <w:b/>
          <w:bCs/>
          <w:sz w:val="32"/>
          <w:szCs w:val="32"/>
        </w:rPr>
        <w:t>第十九条</w:t>
      </w:r>
      <w:r>
        <w:rPr>
          <w:rFonts w:hint="eastAsia" w:ascii="仿宋" w:hAnsi="仿宋" w:eastAsia="仿宋" w:cs="仿宋"/>
          <w:sz w:val="32"/>
          <w:szCs w:val="32"/>
        </w:rPr>
        <w:t xml:space="preserve">  评委听取评定专家组的汇报和查阅申报项目的评价资料后，对申报项目排序进行无记名投票；申报项目排序获得到会评委总数的三分之二及以上的票数即为表决通过。表决未通过的，采取投票表决排序方式确定推荐项目。</w:t>
      </w:r>
    </w:p>
    <w:p>
      <w:pPr>
        <w:spacing w:before="156" w:beforeLines="50" w:line="560" w:lineRule="exact"/>
        <w:jc w:val="center"/>
        <w:rPr>
          <w:rFonts w:ascii="黑体" w:hAnsi="黑体" w:eastAsia="黑体" w:cs="黑体"/>
          <w:sz w:val="32"/>
          <w:szCs w:val="32"/>
        </w:rPr>
      </w:pPr>
      <w:r>
        <w:rPr>
          <w:rFonts w:hint="eastAsia" w:ascii="黑体" w:hAnsi="黑体" w:eastAsia="黑体" w:cs="黑体"/>
          <w:sz w:val="32"/>
          <w:szCs w:val="32"/>
        </w:rPr>
        <w:t>第六章  推荐项目公示和报送</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 xml:space="preserve">第二十条  </w:t>
      </w:r>
      <w:r>
        <w:rPr>
          <w:rFonts w:hint="eastAsia" w:ascii="仿宋" w:hAnsi="仿宋" w:eastAsia="仿宋" w:cs="仿宋"/>
          <w:sz w:val="32"/>
          <w:szCs w:val="32"/>
        </w:rPr>
        <w:t>经评审通过的省优工程推荐项目，依据省质安协会相关文件要求,在质协官网公示。</w:t>
      </w:r>
    </w:p>
    <w:p>
      <w:pPr>
        <w:pStyle w:val="4"/>
        <w:topLinePunct/>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公示期有异议的项目，可向质协提出申诉，由质协按上述规定程序组织抽查。抽查通过项目连同公示无异议项目由质协行文报送省质安协会。</w:t>
      </w:r>
    </w:p>
    <w:p>
      <w:pPr>
        <w:spacing w:before="156" w:beforeLines="50" w:line="560" w:lineRule="exact"/>
        <w:jc w:val="center"/>
        <w:rPr>
          <w:rFonts w:ascii="黑体" w:hAnsi="黑体" w:eastAsia="黑体" w:cs="黑体"/>
          <w:sz w:val="32"/>
          <w:szCs w:val="32"/>
        </w:rPr>
      </w:pPr>
      <w:r>
        <w:rPr>
          <w:rFonts w:hint="eastAsia" w:ascii="黑体" w:hAnsi="黑体" w:eastAsia="黑体" w:cs="黑体"/>
          <w:sz w:val="32"/>
          <w:szCs w:val="32"/>
        </w:rPr>
        <w:t>第七章  纪律</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第二十一条</w:t>
      </w:r>
      <w:r>
        <w:rPr>
          <w:rFonts w:hint="eastAsia" w:ascii="仿宋" w:hAnsi="仿宋" w:eastAsia="仿宋" w:cs="仿宋"/>
          <w:sz w:val="32"/>
          <w:szCs w:val="32"/>
        </w:rPr>
        <w:t xml:space="preserve">  现场评定专家和评委必须坚持标准、秉持职业操守、严格把关、公正公平、廉洁自律，做到不收受礼金、礼物、有价证券等。违者将依据有关规定严肃处理，取消工程质量评价专家资格2年。</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第二十二条</w:t>
      </w:r>
      <w:r>
        <w:rPr>
          <w:rFonts w:hint="eastAsia" w:ascii="仿宋" w:hAnsi="仿宋" w:eastAsia="仿宋" w:cs="仿宋"/>
          <w:sz w:val="32"/>
          <w:szCs w:val="32"/>
        </w:rPr>
        <w:t xml:space="preserve">  有关工作人员必须严格审核、秉公办事、廉洁自律、不收受礼金、礼物和有价证券等不得干预、干扰专家检查工作，违者给予批评教育； 情节严重的依据有关规定进行处理。</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第二十三条</w:t>
      </w:r>
      <w:r>
        <w:rPr>
          <w:rFonts w:hint="eastAsia" w:ascii="仿宋" w:hAnsi="仿宋" w:eastAsia="仿宋" w:cs="仿宋"/>
          <w:sz w:val="32"/>
          <w:szCs w:val="32"/>
        </w:rPr>
        <w:t xml:space="preserve">  发现申报单位、参建单位弄虚作假和诬告行为的，送礼说情的，干扰影响现场评定和评委会工作的，取消当年度的推荐资格，相应责任单位2年内不予推荐省优工程。</w:t>
      </w:r>
    </w:p>
    <w:p>
      <w:pPr>
        <w:spacing w:before="156" w:beforeLines="50" w:line="560" w:lineRule="exact"/>
        <w:jc w:val="center"/>
        <w:rPr>
          <w:rFonts w:ascii="仿宋" w:hAnsi="仿宋" w:eastAsia="仿宋" w:cs="仿宋"/>
          <w:sz w:val="32"/>
          <w:szCs w:val="32"/>
        </w:rPr>
      </w:pPr>
      <w:r>
        <w:rPr>
          <w:rFonts w:hint="eastAsia" w:ascii="黑体" w:hAnsi="黑体" w:eastAsia="黑体" w:cs="黑体"/>
          <w:sz w:val="32"/>
          <w:szCs w:val="32"/>
        </w:rPr>
        <w:t>第八章  附则</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第二十四条</w:t>
      </w:r>
      <w:r>
        <w:rPr>
          <w:rFonts w:hint="eastAsia" w:ascii="仿宋" w:hAnsi="仿宋" w:eastAsia="仿宋" w:cs="仿宋"/>
          <w:sz w:val="32"/>
          <w:szCs w:val="32"/>
        </w:rPr>
        <w:t xml:space="preserve">  本办法由质协负责解释。推荐工作接受相关部门监督。</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第二十五</w:t>
      </w:r>
      <w:r>
        <w:rPr>
          <w:rFonts w:hint="eastAsia" w:ascii="仿宋" w:hAnsi="仿宋" w:eastAsia="仿宋" w:cs="仿宋"/>
          <w:b/>
          <w:bCs/>
          <w:sz w:val="32"/>
          <w:szCs w:val="32"/>
        </w:rPr>
        <w:t>条</w:t>
      </w:r>
      <w:r>
        <w:rPr>
          <w:rFonts w:hint="eastAsia" w:ascii="仿宋" w:hAnsi="仿宋" w:eastAsia="仿宋" w:cs="仿宋"/>
          <w:sz w:val="32"/>
          <w:szCs w:val="32"/>
        </w:rPr>
        <w:t xml:space="preserve">  本办法自印发之日起施行，2021年12月22日印发的《厦门市建设工程质量安全管理协会福建省建设工程省级优质工程（闽江杯）推荐管理办法》同时废止。</w:t>
      </w:r>
    </w:p>
    <w:p>
      <w:pPr>
        <w:spacing w:line="560" w:lineRule="exact"/>
        <w:ind w:firstLine="640" w:firstLineChars="200"/>
        <w:rPr>
          <w:rFonts w:ascii="仿宋" w:hAnsi="仿宋" w:eastAsia="仿宋" w:cs="仿宋"/>
          <w:sz w:val="32"/>
          <w:szCs w:val="32"/>
        </w:rPr>
      </w:pPr>
    </w:p>
    <w:p>
      <w:pPr>
        <w:spacing w:line="560" w:lineRule="exact"/>
        <w:ind w:firstLine="3840" w:firstLineChars="1200"/>
        <w:rPr>
          <w:rFonts w:ascii="仿宋" w:hAnsi="仿宋" w:eastAsia="仿宋" w:cs="仿宋"/>
          <w:sz w:val="32"/>
          <w:szCs w:val="32"/>
        </w:rPr>
      </w:pPr>
    </w:p>
    <w:p>
      <w:pPr>
        <w:spacing w:line="560" w:lineRule="exact"/>
        <w:ind w:firstLine="3840" w:firstLineChars="1200"/>
        <w:rPr>
          <w:rFonts w:ascii="仿宋" w:hAnsi="仿宋" w:eastAsia="仿宋" w:cs="仿宋"/>
          <w:sz w:val="32"/>
          <w:szCs w:val="32"/>
        </w:rPr>
      </w:pPr>
      <w:r>
        <w:rPr>
          <w:rFonts w:ascii="仿宋" w:hAnsi="仿宋" w:eastAsia="仿宋" w:cs="仿宋"/>
          <w:sz w:val="32"/>
          <w:szCs w:val="32"/>
        </w:rPr>
        <w:t>厦门市建设工程质量安全管理协会</w:t>
      </w:r>
    </w:p>
    <w:p>
      <w:pPr>
        <w:spacing w:line="560" w:lineRule="exact"/>
        <w:ind w:firstLine="5120" w:firstLineChars="1600"/>
        <w:rPr>
          <w:rFonts w:ascii="仿宋" w:hAnsi="仿宋" w:eastAsia="仿宋" w:cs="仿宋"/>
          <w:sz w:val="32"/>
          <w:szCs w:val="32"/>
        </w:rPr>
      </w:pPr>
      <w:r>
        <w:rPr>
          <w:rFonts w:ascii="仿宋" w:hAnsi="仿宋" w:eastAsia="仿宋" w:cs="仿宋"/>
          <w:sz w:val="32"/>
          <w:szCs w:val="32"/>
        </w:rPr>
        <w:t>2023年3月</w:t>
      </w:r>
      <w:r>
        <w:rPr>
          <w:rFonts w:hint="eastAsia" w:ascii="仿宋" w:hAnsi="仿宋" w:eastAsia="仿宋" w:cs="仿宋"/>
          <w:sz w:val="32"/>
          <w:szCs w:val="32"/>
        </w:rPr>
        <w:t>2</w:t>
      </w:r>
      <w:r>
        <w:rPr>
          <w:rFonts w:ascii="仿宋" w:hAnsi="仿宋" w:eastAsia="仿宋" w:cs="仿宋"/>
          <w:sz w:val="32"/>
          <w:szCs w:val="32"/>
        </w:rPr>
        <w:t>2日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">
          <v:path/>
          <v:fill on="f" focussize="0,0"/>
          <v:stroke on="f" weight="1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2"/>
  </w:compat>
  <w:docVars>
    <w:docVar w:name="commondata" w:val="eyJoZGlkIjoiNzFhNTk0YmY4MzI0NjU4YjM3NTc4MTk3Yjk0Y2ZjYmYifQ=="/>
    <w:docVar w:name="KSO_WPS_MARK_KEY" w:val="d08ce1e6-d3c4-4edd-beb7-3b5f4605bd8f"/>
  </w:docVars>
  <w:rsids>
    <w:rsidRoot w:val="00893083"/>
    <w:rsid w:val="00007041"/>
    <w:rsid w:val="0006219B"/>
    <w:rsid w:val="00063238"/>
    <w:rsid w:val="00082281"/>
    <w:rsid w:val="000B585D"/>
    <w:rsid w:val="000C5209"/>
    <w:rsid w:val="00141C57"/>
    <w:rsid w:val="0015364C"/>
    <w:rsid w:val="0016341C"/>
    <w:rsid w:val="00166A2E"/>
    <w:rsid w:val="00193AA0"/>
    <w:rsid w:val="001A0F56"/>
    <w:rsid w:val="001A45C3"/>
    <w:rsid w:val="001F2654"/>
    <w:rsid w:val="00225AFD"/>
    <w:rsid w:val="002347ED"/>
    <w:rsid w:val="002579C2"/>
    <w:rsid w:val="0028378F"/>
    <w:rsid w:val="002E2F18"/>
    <w:rsid w:val="00313320"/>
    <w:rsid w:val="003364E1"/>
    <w:rsid w:val="003365B2"/>
    <w:rsid w:val="0034132D"/>
    <w:rsid w:val="00357F9D"/>
    <w:rsid w:val="003673AB"/>
    <w:rsid w:val="00371D29"/>
    <w:rsid w:val="003740AB"/>
    <w:rsid w:val="00383E30"/>
    <w:rsid w:val="003A4FA3"/>
    <w:rsid w:val="003A57C9"/>
    <w:rsid w:val="003F3F9A"/>
    <w:rsid w:val="0043048E"/>
    <w:rsid w:val="00442240"/>
    <w:rsid w:val="00481A85"/>
    <w:rsid w:val="004857E4"/>
    <w:rsid w:val="004917F9"/>
    <w:rsid w:val="004929BB"/>
    <w:rsid w:val="004C7494"/>
    <w:rsid w:val="004F2394"/>
    <w:rsid w:val="0054668D"/>
    <w:rsid w:val="00587596"/>
    <w:rsid w:val="00592FC1"/>
    <w:rsid w:val="005A4E58"/>
    <w:rsid w:val="005B2ED7"/>
    <w:rsid w:val="005F7CE2"/>
    <w:rsid w:val="006113A5"/>
    <w:rsid w:val="006266EF"/>
    <w:rsid w:val="00645E66"/>
    <w:rsid w:val="006809D5"/>
    <w:rsid w:val="00690414"/>
    <w:rsid w:val="00705381"/>
    <w:rsid w:val="0071316A"/>
    <w:rsid w:val="00716B1B"/>
    <w:rsid w:val="007177BB"/>
    <w:rsid w:val="00717826"/>
    <w:rsid w:val="007539BB"/>
    <w:rsid w:val="00770D35"/>
    <w:rsid w:val="00781986"/>
    <w:rsid w:val="00781A04"/>
    <w:rsid w:val="007E58F5"/>
    <w:rsid w:val="00872A8E"/>
    <w:rsid w:val="008926B1"/>
    <w:rsid w:val="00893083"/>
    <w:rsid w:val="00893634"/>
    <w:rsid w:val="0089622D"/>
    <w:rsid w:val="008E4327"/>
    <w:rsid w:val="008F5236"/>
    <w:rsid w:val="0094001D"/>
    <w:rsid w:val="0096744E"/>
    <w:rsid w:val="00994164"/>
    <w:rsid w:val="009C2CD0"/>
    <w:rsid w:val="009F6135"/>
    <w:rsid w:val="00A3641C"/>
    <w:rsid w:val="00A7551D"/>
    <w:rsid w:val="00AA03BA"/>
    <w:rsid w:val="00B102D4"/>
    <w:rsid w:val="00B23E80"/>
    <w:rsid w:val="00B326A2"/>
    <w:rsid w:val="00B371C0"/>
    <w:rsid w:val="00B375D4"/>
    <w:rsid w:val="00B666D2"/>
    <w:rsid w:val="00B67D96"/>
    <w:rsid w:val="00B7516D"/>
    <w:rsid w:val="00BA7DEA"/>
    <w:rsid w:val="00BB79EB"/>
    <w:rsid w:val="00BF3AEA"/>
    <w:rsid w:val="00C12391"/>
    <w:rsid w:val="00C1432E"/>
    <w:rsid w:val="00C865F7"/>
    <w:rsid w:val="00C91562"/>
    <w:rsid w:val="00CA2521"/>
    <w:rsid w:val="00CC344F"/>
    <w:rsid w:val="00CC73BF"/>
    <w:rsid w:val="00CF55BA"/>
    <w:rsid w:val="00D04C9A"/>
    <w:rsid w:val="00D11C92"/>
    <w:rsid w:val="00D47AE8"/>
    <w:rsid w:val="00D50119"/>
    <w:rsid w:val="00D70D00"/>
    <w:rsid w:val="00DC28D1"/>
    <w:rsid w:val="00DF2358"/>
    <w:rsid w:val="00E1030B"/>
    <w:rsid w:val="00E4559F"/>
    <w:rsid w:val="00E65716"/>
    <w:rsid w:val="00E72E46"/>
    <w:rsid w:val="00E73448"/>
    <w:rsid w:val="00E8730B"/>
    <w:rsid w:val="00EB6693"/>
    <w:rsid w:val="00ED7B68"/>
    <w:rsid w:val="00F5364B"/>
    <w:rsid w:val="00F84518"/>
    <w:rsid w:val="00FA2A5B"/>
    <w:rsid w:val="00FA6FE6"/>
    <w:rsid w:val="00FB266E"/>
    <w:rsid w:val="00FC1B66"/>
    <w:rsid w:val="00FF0463"/>
    <w:rsid w:val="00FF6CFC"/>
    <w:rsid w:val="013A48B9"/>
    <w:rsid w:val="0169224B"/>
    <w:rsid w:val="01A6752C"/>
    <w:rsid w:val="022C2CE5"/>
    <w:rsid w:val="02856307"/>
    <w:rsid w:val="043E69BF"/>
    <w:rsid w:val="052418A5"/>
    <w:rsid w:val="054722D2"/>
    <w:rsid w:val="054C6C5C"/>
    <w:rsid w:val="076051A9"/>
    <w:rsid w:val="07E57549"/>
    <w:rsid w:val="08B13240"/>
    <w:rsid w:val="08B34EF2"/>
    <w:rsid w:val="08F30260"/>
    <w:rsid w:val="09356E8E"/>
    <w:rsid w:val="099C11FF"/>
    <w:rsid w:val="09B70182"/>
    <w:rsid w:val="0A3675D4"/>
    <w:rsid w:val="0A8F3FC5"/>
    <w:rsid w:val="0BBEA1D5"/>
    <w:rsid w:val="0E3F32E6"/>
    <w:rsid w:val="0FE16698"/>
    <w:rsid w:val="127A00EF"/>
    <w:rsid w:val="135E09C2"/>
    <w:rsid w:val="16BE40D4"/>
    <w:rsid w:val="177C72E9"/>
    <w:rsid w:val="190269F4"/>
    <w:rsid w:val="19DF621B"/>
    <w:rsid w:val="1AA0230C"/>
    <w:rsid w:val="1B871C00"/>
    <w:rsid w:val="1BC33A5C"/>
    <w:rsid w:val="1DC33948"/>
    <w:rsid w:val="1DEA4577"/>
    <w:rsid w:val="1E445ED5"/>
    <w:rsid w:val="1E4B5261"/>
    <w:rsid w:val="1EFA416B"/>
    <w:rsid w:val="21307CFC"/>
    <w:rsid w:val="21336D9B"/>
    <w:rsid w:val="23B23904"/>
    <w:rsid w:val="23FC2EC7"/>
    <w:rsid w:val="24910EAB"/>
    <w:rsid w:val="24FA49EF"/>
    <w:rsid w:val="259A1CC3"/>
    <w:rsid w:val="26B6263C"/>
    <w:rsid w:val="26ED9B5E"/>
    <w:rsid w:val="27165140"/>
    <w:rsid w:val="27FF3CE9"/>
    <w:rsid w:val="2ADC3826"/>
    <w:rsid w:val="2BAC68D2"/>
    <w:rsid w:val="2BF0762A"/>
    <w:rsid w:val="2C4D273C"/>
    <w:rsid w:val="2DE232FA"/>
    <w:rsid w:val="2EA06B65"/>
    <w:rsid w:val="2FD63705"/>
    <w:rsid w:val="30C30E84"/>
    <w:rsid w:val="31455D6C"/>
    <w:rsid w:val="333A5454"/>
    <w:rsid w:val="36BD7BBA"/>
    <w:rsid w:val="377A1E1F"/>
    <w:rsid w:val="383C215D"/>
    <w:rsid w:val="38B96BFD"/>
    <w:rsid w:val="39D6440B"/>
    <w:rsid w:val="3B31514B"/>
    <w:rsid w:val="3BBF2A13"/>
    <w:rsid w:val="3CA42401"/>
    <w:rsid w:val="3D3C326C"/>
    <w:rsid w:val="3D8B6100"/>
    <w:rsid w:val="3DC57D92"/>
    <w:rsid w:val="3DDCDC67"/>
    <w:rsid w:val="3F982545"/>
    <w:rsid w:val="3FFF9067"/>
    <w:rsid w:val="41014ED8"/>
    <w:rsid w:val="413E437D"/>
    <w:rsid w:val="41C358A4"/>
    <w:rsid w:val="43A8469E"/>
    <w:rsid w:val="45B122C6"/>
    <w:rsid w:val="471133DC"/>
    <w:rsid w:val="48C62C1A"/>
    <w:rsid w:val="49BC5128"/>
    <w:rsid w:val="4AB62986"/>
    <w:rsid w:val="4B3461A4"/>
    <w:rsid w:val="4CA604EF"/>
    <w:rsid w:val="4F5D4512"/>
    <w:rsid w:val="51346CBE"/>
    <w:rsid w:val="51D707AD"/>
    <w:rsid w:val="52ED0103"/>
    <w:rsid w:val="539A32A6"/>
    <w:rsid w:val="544E336A"/>
    <w:rsid w:val="54F03082"/>
    <w:rsid w:val="54F5572A"/>
    <w:rsid w:val="56484A9F"/>
    <w:rsid w:val="58A84583"/>
    <w:rsid w:val="58B611D3"/>
    <w:rsid w:val="5BE93416"/>
    <w:rsid w:val="5BEA50C1"/>
    <w:rsid w:val="5D063C0F"/>
    <w:rsid w:val="5DEC1B25"/>
    <w:rsid w:val="606C01A0"/>
    <w:rsid w:val="61FD0567"/>
    <w:rsid w:val="645D39F0"/>
    <w:rsid w:val="65815406"/>
    <w:rsid w:val="65862017"/>
    <w:rsid w:val="665B56EE"/>
    <w:rsid w:val="67642668"/>
    <w:rsid w:val="67FBF51D"/>
    <w:rsid w:val="6847729B"/>
    <w:rsid w:val="68B97B8C"/>
    <w:rsid w:val="6985204A"/>
    <w:rsid w:val="69F949F1"/>
    <w:rsid w:val="6A7F374E"/>
    <w:rsid w:val="6B2F07FA"/>
    <w:rsid w:val="6BFF4724"/>
    <w:rsid w:val="6C04299B"/>
    <w:rsid w:val="6D5E6BAD"/>
    <w:rsid w:val="705B7740"/>
    <w:rsid w:val="70FA6167"/>
    <w:rsid w:val="711B3A91"/>
    <w:rsid w:val="729D5296"/>
    <w:rsid w:val="72F412BC"/>
    <w:rsid w:val="74277114"/>
    <w:rsid w:val="749D13C3"/>
    <w:rsid w:val="757E6FE1"/>
    <w:rsid w:val="75A1363B"/>
    <w:rsid w:val="761F0029"/>
    <w:rsid w:val="764A587C"/>
    <w:rsid w:val="766F3568"/>
    <w:rsid w:val="76C61390"/>
    <w:rsid w:val="791F6406"/>
    <w:rsid w:val="79931FC4"/>
    <w:rsid w:val="7A13729C"/>
    <w:rsid w:val="7ACB7EA6"/>
    <w:rsid w:val="7AFF096A"/>
    <w:rsid w:val="7B3E1448"/>
    <w:rsid w:val="7B67D8FB"/>
    <w:rsid w:val="7BFD313B"/>
    <w:rsid w:val="7BFDE446"/>
    <w:rsid w:val="7C2F662B"/>
    <w:rsid w:val="7CD45972"/>
    <w:rsid w:val="7D3D1C72"/>
    <w:rsid w:val="7ED7483C"/>
    <w:rsid w:val="7ED84E17"/>
    <w:rsid w:val="7EDA6507"/>
    <w:rsid w:val="7EE35FE0"/>
    <w:rsid w:val="7EF05E43"/>
    <w:rsid w:val="7FA5D69D"/>
    <w:rsid w:val="B7BFCA44"/>
    <w:rsid w:val="BFBEF6E2"/>
    <w:rsid w:val="CF7FB22B"/>
    <w:rsid w:val="D7DFF9A7"/>
    <w:rsid w:val="DDEDFBB0"/>
    <w:rsid w:val="DF6E0ECE"/>
    <w:rsid w:val="FD7F09BC"/>
    <w:rsid w:val="FDCE27BF"/>
    <w:rsid w:val="FE7E4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Times New Roman" w:hAnsi="Times New Roman" w:cs="Times New Roman"/>
      <w:szCs w:val="24"/>
    </w:rPr>
  </w:style>
  <w:style w:type="paragraph" w:styleId="3">
    <w:name w:val="Body Text Indent"/>
    <w:basedOn w:val="1"/>
    <w:qFormat/>
    <w:uiPriority w:val="0"/>
    <w:pPr>
      <w:spacing w:line="500" w:lineRule="exact"/>
      <w:ind w:firstLine="200" w:firstLineChars="200"/>
    </w:pPr>
    <w:rPr>
      <w:rFonts w:ascii="宋体" w:hAnsi="宋体"/>
    </w:rPr>
  </w:style>
  <w:style w:type="paragraph" w:styleId="4">
    <w:name w:val="Plain Text"/>
    <w:basedOn w:val="1"/>
    <w:qFormat/>
    <w:uiPriority w:val="0"/>
    <w:pPr>
      <w:spacing w:before="100" w:beforeAutospacing="1" w:after="100" w:afterAutospacing="1"/>
      <w:jc w:val="left"/>
    </w:pPr>
    <w:rPr>
      <w:rFonts w:ascii="宋体" w:cs="宋体"/>
      <w:kern w:val="0"/>
      <w:sz w:val="24"/>
      <w:szCs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cs="宋体"/>
      <w:kern w:val="0"/>
      <w:sz w:val="24"/>
      <w:szCs w:val="24"/>
    </w:rPr>
  </w:style>
  <w:style w:type="paragraph" w:styleId="9">
    <w:name w:val="Body Text First Indent 2"/>
    <w:basedOn w:val="3"/>
    <w:unhideWhenUsed/>
    <w:qFormat/>
    <w:uiPriority w:val="99"/>
    <w:pPr>
      <w:ind w:firstLine="420"/>
    </w:pPr>
  </w:style>
  <w:style w:type="character" w:styleId="12">
    <w:name w:val="Hyperlink"/>
    <w:basedOn w:val="11"/>
    <w:qFormat/>
    <w:uiPriority w:val="0"/>
    <w:rPr>
      <w:color w:val="0000FF"/>
      <w:u w:val="single"/>
    </w:rPr>
  </w:style>
  <w:style w:type="character" w:customStyle="1" w:styleId="13">
    <w:name w:val="style6"/>
    <w:basedOn w:val="11"/>
    <w:qFormat/>
    <w:uiPriority w:val="0"/>
  </w:style>
  <w:style w:type="paragraph" w:customStyle="1" w:styleId="1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5">
    <w:name w:val="批注文字 字符"/>
    <w:basedOn w:val="11"/>
    <w:link w:val="2"/>
    <w:qFormat/>
    <w:uiPriority w:val="0"/>
    <w:rPr>
      <w:kern w:val="2"/>
      <w:sz w:val="21"/>
      <w:szCs w:val="24"/>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B678B-0BD7-4C27-84C7-F5C973232A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2948</Words>
  <Characters>2972</Characters>
  <Lines>22</Lines>
  <Paragraphs>6</Paragraphs>
  <TotalTime>79</TotalTime>
  <ScaleCrop>false</ScaleCrop>
  <LinksUpToDate>false</LinksUpToDate>
  <CharactersWithSpaces>3040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2023-02-15T14:12:00Z</dcterms:created>
  <dc:creator>User</dc:creator>
  <cp:lastModifiedBy>苏史周</cp:lastModifiedBy>
  <cp:lastPrinted>2023-03-16T05:04:00Z</cp:lastPrinted>
  <dcterms:modified xsi:type="dcterms:W3CDTF">2024-02-21T08:04:33Z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AFF92CFC9E92436AB93B9CCFB04FB0DD</vt:lpwstr>
  </property>
</Properties>
</file>