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hint="eastAsia" w:ascii="宋体" w:hAnsi="宋体" w:eastAsia="宋体" w:cs="宋体"/>
          <w:b/>
          <w:bCs/>
          <w:spacing w:val="-3"/>
          <w:sz w:val="40"/>
          <w:szCs w:val="40"/>
        </w:rPr>
      </w:pPr>
      <w:r>
        <w:rPr>
          <w:rFonts w:hint="eastAsia" w:ascii="宋体" w:hAnsi="宋体" w:eastAsia="宋体" w:cs="宋体"/>
          <w:b/>
          <w:bCs/>
          <w:spacing w:val="-3"/>
          <w:sz w:val="40"/>
          <w:szCs w:val="40"/>
        </w:rPr>
        <w:t>厦门市第一届建筑信息模型（BIM）技术应用</w:t>
      </w:r>
    </w:p>
    <w:p>
      <w:pPr>
        <w:pStyle w:val="2"/>
        <w:spacing w:line="360" w:lineRule="auto"/>
        <w:jc w:val="center"/>
        <w:rPr>
          <w:rFonts w:hint="eastAsia" w:ascii="宋体" w:hAnsi="宋体" w:eastAsia="宋体" w:cs="宋体"/>
          <w:b/>
          <w:bCs/>
          <w:spacing w:val="-3"/>
          <w:sz w:val="32"/>
          <w:szCs w:val="32"/>
          <w:lang w:eastAsia="zh-CN"/>
        </w:rPr>
      </w:pPr>
      <w:bookmarkStart w:id="0" w:name="_GoBack"/>
      <w:bookmarkEnd w:id="0"/>
      <w:r>
        <w:rPr>
          <w:rFonts w:hint="eastAsia" w:ascii="宋体" w:hAnsi="宋体" w:eastAsia="宋体" w:cs="宋体"/>
          <w:b/>
          <w:bCs/>
          <w:spacing w:val="-3"/>
          <w:sz w:val="40"/>
          <w:szCs w:val="40"/>
        </w:rPr>
        <w:t>大赛比赛办法</w:t>
      </w:r>
    </w:p>
    <w:p>
      <w:pPr>
        <w:pStyle w:val="5"/>
        <w:numPr>
          <w:ilvl w:val="0"/>
          <w:numId w:val="0"/>
        </w:numPr>
        <w:spacing w:line="360" w:lineRule="auto"/>
        <w:ind w:leftChars="0"/>
        <w:outlineLvl w:val="0"/>
        <w:rPr>
          <w:rFonts w:ascii="仿宋" w:hAnsi="仿宋" w:eastAsia="仿宋" w:cs="仿宋_GB2312"/>
          <w:b/>
          <w:bCs/>
          <w:spacing w:val="-3"/>
          <w:sz w:val="32"/>
          <w:szCs w:val="32"/>
        </w:rPr>
      </w:pPr>
      <w:r>
        <w:rPr>
          <w:rFonts w:hint="eastAsia" w:ascii="仿宋" w:hAnsi="仿宋" w:eastAsia="仿宋" w:cs="仿宋_GB2312"/>
          <w:b/>
          <w:bCs/>
          <w:spacing w:val="-3"/>
          <w:sz w:val="32"/>
          <w:szCs w:val="32"/>
          <w:lang w:eastAsia="zh-CN"/>
        </w:rPr>
        <w:t>一、</w:t>
      </w:r>
      <w:r>
        <w:rPr>
          <w:rFonts w:hint="eastAsia" w:ascii="仿宋" w:hAnsi="仿宋" w:eastAsia="仿宋" w:cs="仿宋_GB2312"/>
          <w:b/>
          <w:bCs/>
          <w:spacing w:val="-3"/>
          <w:sz w:val="32"/>
          <w:szCs w:val="32"/>
        </w:rPr>
        <w:t>报名要求</w:t>
      </w:r>
    </w:p>
    <w:p>
      <w:pPr>
        <w:pStyle w:val="2"/>
        <w:numPr>
          <w:ilvl w:val="0"/>
          <w:numId w:val="1"/>
        </w:numPr>
        <w:spacing w:line="360" w:lineRule="auto"/>
        <w:jc w:val="both"/>
        <w:rPr>
          <w:rFonts w:ascii="仿宋" w:hAnsi="仿宋" w:eastAsia="仿宋" w:cs="仿宋_GB2312"/>
          <w:b/>
          <w:bCs/>
          <w:spacing w:val="-3"/>
          <w:sz w:val="32"/>
          <w:szCs w:val="32"/>
        </w:rPr>
      </w:pPr>
      <w:r>
        <w:rPr>
          <w:rFonts w:hint="eastAsia" w:ascii="仿宋" w:hAnsi="仿宋" w:eastAsia="仿宋" w:cs="仿宋_GB2312"/>
          <w:b/>
          <w:bCs/>
          <w:spacing w:val="-3"/>
          <w:sz w:val="32"/>
          <w:szCs w:val="32"/>
        </w:rPr>
        <w:t>参赛主体</w:t>
      </w:r>
    </w:p>
    <w:p>
      <w:pPr>
        <w:pStyle w:val="2"/>
        <w:spacing w:line="360" w:lineRule="auto"/>
        <w:ind w:left="565" w:leftChars="257"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参赛主体须为厦门市土木建筑学会、厦门市建设工程质量安全管理协会、厦门市建筑行业协会、厦门市勘察设计协会四</w:t>
      </w:r>
      <w:r>
        <w:rPr>
          <w:rFonts w:hint="eastAsia" w:ascii="仿宋" w:hAnsi="仿宋" w:eastAsia="仿宋" w:cs="仿宋_GB2312"/>
          <w:spacing w:val="-3"/>
          <w:sz w:val="32"/>
          <w:szCs w:val="32"/>
          <w:lang w:eastAsia="zh-CN"/>
        </w:rPr>
        <w:t>家</w:t>
      </w:r>
      <w:r>
        <w:rPr>
          <w:rFonts w:ascii="仿宋" w:hAnsi="仿宋" w:eastAsia="仿宋" w:cs="仿宋_GB2312"/>
          <w:spacing w:val="-3"/>
          <w:sz w:val="32"/>
          <w:szCs w:val="32"/>
        </w:rPr>
        <w:t>社会团体</w:t>
      </w:r>
      <w:r>
        <w:rPr>
          <w:rFonts w:hint="eastAsia" w:ascii="仿宋" w:hAnsi="仿宋" w:eastAsia="仿宋" w:cs="仿宋_GB2312"/>
          <w:spacing w:val="-3"/>
          <w:sz w:val="32"/>
          <w:szCs w:val="32"/>
          <w:lang w:eastAsia="zh-CN"/>
        </w:rPr>
        <w:t>的</w:t>
      </w:r>
      <w:r>
        <w:rPr>
          <w:rFonts w:ascii="仿宋" w:hAnsi="仿宋" w:eastAsia="仿宋" w:cs="仿宋_GB2312"/>
          <w:spacing w:val="-3"/>
          <w:sz w:val="32"/>
          <w:szCs w:val="32"/>
        </w:rPr>
        <w:t>单位</w:t>
      </w:r>
      <w:r>
        <w:rPr>
          <w:rFonts w:hint="eastAsia" w:ascii="仿宋" w:hAnsi="仿宋" w:eastAsia="仿宋" w:cs="仿宋_GB2312"/>
          <w:spacing w:val="-3"/>
          <w:sz w:val="32"/>
          <w:szCs w:val="32"/>
          <w:lang w:eastAsia="zh-CN"/>
        </w:rPr>
        <w:t>（个人）</w:t>
      </w:r>
      <w:r>
        <w:rPr>
          <w:rFonts w:ascii="仿宋" w:hAnsi="仿宋" w:eastAsia="仿宋" w:cs="仿宋_GB2312"/>
          <w:spacing w:val="-3"/>
          <w:sz w:val="32"/>
          <w:szCs w:val="32"/>
        </w:rPr>
        <w:t>会员，各项参赛成果可由参赛单位独立申报或组成联合体申报参赛（联合体成员不超过三家）。</w:t>
      </w:r>
    </w:p>
    <w:p>
      <w:pPr>
        <w:pStyle w:val="2"/>
        <w:numPr>
          <w:ilvl w:val="0"/>
          <w:numId w:val="1"/>
        </w:numPr>
        <w:spacing w:line="360" w:lineRule="auto"/>
        <w:jc w:val="both"/>
        <w:rPr>
          <w:rFonts w:ascii="仿宋" w:hAnsi="仿宋" w:eastAsia="仿宋" w:cs="仿宋_GB2312"/>
          <w:b/>
          <w:bCs/>
          <w:spacing w:val="-3"/>
          <w:sz w:val="32"/>
          <w:szCs w:val="32"/>
        </w:rPr>
      </w:pPr>
      <w:r>
        <w:rPr>
          <w:rFonts w:hint="eastAsia" w:ascii="仿宋" w:hAnsi="仿宋" w:eastAsia="仿宋" w:cs="仿宋_GB2312"/>
          <w:b/>
          <w:bCs/>
          <w:spacing w:val="-3"/>
          <w:sz w:val="32"/>
          <w:szCs w:val="32"/>
        </w:rPr>
        <w:t>参赛项目类型</w:t>
      </w:r>
    </w:p>
    <w:p>
      <w:pPr>
        <w:pStyle w:val="2"/>
        <w:spacing w:line="360" w:lineRule="auto"/>
        <w:ind w:left="565" w:leftChars="257"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1.房屋建筑工程：绿色建筑、装配式建筑、工业建筑、民用建筑等。</w:t>
      </w:r>
    </w:p>
    <w:p>
      <w:pPr>
        <w:pStyle w:val="2"/>
        <w:spacing w:line="360" w:lineRule="auto"/>
        <w:ind w:left="565" w:leftChars="257"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2.市政基础设施工程：地铁、综合管廊、海绵城市、污水垃圾处理设施、市政道路、桥梁、隧道等。</w:t>
      </w:r>
    </w:p>
    <w:p>
      <w:pPr>
        <w:pStyle w:val="2"/>
        <w:numPr>
          <w:ilvl w:val="0"/>
          <w:numId w:val="1"/>
        </w:numPr>
        <w:spacing w:line="360" w:lineRule="auto"/>
        <w:jc w:val="both"/>
        <w:rPr>
          <w:rFonts w:ascii="仿宋" w:hAnsi="仿宋" w:eastAsia="仿宋" w:cs="仿宋_GB2312"/>
          <w:b/>
          <w:bCs/>
          <w:spacing w:val="-3"/>
          <w:sz w:val="32"/>
          <w:szCs w:val="32"/>
        </w:rPr>
      </w:pPr>
      <w:r>
        <w:rPr>
          <w:rFonts w:hint="eastAsia" w:ascii="仿宋" w:hAnsi="仿宋" w:eastAsia="仿宋" w:cs="仿宋_GB2312"/>
          <w:b/>
          <w:bCs/>
          <w:spacing w:val="-3"/>
          <w:sz w:val="32"/>
          <w:szCs w:val="32"/>
        </w:rPr>
        <w:t>参赛项目要求</w:t>
      </w:r>
    </w:p>
    <w:p>
      <w:pPr>
        <w:pStyle w:val="2"/>
        <w:spacing w:line="360" w:lineRule="auto"/>
        <w:ind w:left="565" w:leftChars="257" w:firstLine="628" w:firstLineChars="200"/>
        <w:jc w:val="both"/>
        <w:rPr>
          <w:rFonts w:ascii="仿宋" w:hAnsi="仿宋" w:eastAsia="仿宋" w:cs="仿宋_GB2312"/>
          <w:spacing w:val="-3"/>
          <w:sz w:val="32"/>
          <w:szCs w:val="32"/>
        </w:rPr>
      </w:pPr>
      <w:r>
        <w:rPr>
          <w:rFonts w:hint="eastAsia" w:ascii="仿宋" w:hAnsi="仿宋" w:eastAsia="仿宋" w:cs="仿宋_GB2312"/>
          <w:spacing w:val="-3"/>
          <w:sz w:val="32"/>
          <w:szCs w:val="32"/>
        </w:rPr>
        <w:t>1</w:t>
      </w:r>
      <w:r>
        <w:rPr>
          <w:rFonts w:ascii="仿宋" w:hAnsi="仿宋" w:eastAsia="仿宋" w:cs="仿宋_GB2312"/>
          <w:spacing w:val="-3"/>
          <w:sz w:val="32"/>
          <w:szCs w:val="32"/>
        </w:rPr>
        <w:t>.参赛单位在全国各地及海外承接的工程项目皆可报名参赛。每个参赛成果只可报一种类型或一个组别的奖项，同一参赛单位的参赛项目不超过5项，以联合体名义申报的参赛单位均占各自单位的参赛名额。</w:t>
      </w:r>
    </w:p>
    <w:p>
      <w:pPr>
        <w:pStyle w:val="2"/>
        <w:spacing w:line="360" w:lineRule="auto"/>
        <w:ind w:left="565" w:leftChars="257" w:firstLine="628" w:firstLineChars="200"/>
        <w:jc w:val="both"/>
        <w:rPr>
          <w:rFonts w:ascii="仿宋" w:hAnsi="仿宋" w:eastAsia="仿宋" w:cs="仿宋_GB2312"/>
          <w:spacing w:val="-3"/>
          <w:sz w:val="32"/>
          <w:szCs w:val="32"/>
        </w:rPr>
      </w:pPr>
      <w:r>
        <w:rPr>
          <w:rFonts w:hint="eastAsia" w:ascii="仿宋" w:hAnsi="仿宋" w:eastAsia="仿宋" w:cs="仿宋_GB2312"/>
          <w:spacing w:val="-3"/>
          <w:sz w:val="32"/>
          <w:szCs w:val="32"/>
        </w:rPr>
        <w:t>2</w:t>
      </w:r>
      <w:r>
        <w:rPr>
          <w:rFonts w:ascii="仿宋" w:hAnsi="仿宋" w:eastAsia="仿宋" w:cs="仿宋_GB2312"/>
          <w:spacing w:val="-3"/>
          <w:sz w:val="32"/>
          <w:szCs w:val="32"/>
        </w:rPr>
        <w:t>.</w:t>
      </w:r>
      <w:r>
        <w:rPr>
          <w:rFonts w:hint="eastAsia" w:ascii="仿宋" w:hAnsi="仿宋" w:eastAsia="仿宋" w:cs="仿宋_GB2312"/>
          <w:spacing w:val="-3"/>
          <w:sz w:val="32"/>
          <w:szCs w:val="32"/>
        </w:rPr>
        <w:t>按大赛报名截止时间起算，竣工超过1年的项目，不得参加本次大赛。</w:t>
      </w:r>
    </w:p>
    <w:p>
      <w:pPr>
        <w:pStyle w:val="2"/>
        <w:spacing w:line="360" w:lineRule="auto"/>
        <w:ind w:left="565" w:leftChars="257"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3.</w:t>
      </w:r>
      <w:r>
        <w:rPr>
          <w:rFonts w:hint="eastAsia" w:ascii="仿宋" w:hAnsi="仿宋" w:eastAsia="仿宋" w:cs="仿宋_GB2312"/>
          <w:spacing w:val="-3"/>
          <w:sz w:val="32"/>
          <w:szCs w:val="32"/>
        </w:rPr>
        <w:t>参赛项目</w:t>
      </w:r>
      <w:r>
        <w:rPr>
          <w:rFonts w:ascii="仿宋" w:hAnsi="仿宋" w:eastAsia="仿宋" w:cs="仿宋_GB2312"/>
          <w:spacing w:val="-3"/>
          <w:sz w:val="32"/>
          <w:szCs w:val="32"/>
        </w:rPr>
        <w:t>获得</w:t>
      </w:r>
      <w:r>
        <w:rPr>
          <w:rFonts w:hint="eastAsia" w:ascii="仿宋" w:hAnsi="仿宋" w:eastAsia="仿宋" w:cs="仿宋_GB2312"/>
          <w:spacing w:val="-3"/>
          <w:sz w:val="32"/>
          <w:szCs w:val="32"/>
        </w:rPr>
        <w:t>过</w:t>
      </w:r>
      <w:r>
        <w:rPr>
          <w:rFonts w:ascii="仿宋" w:hAnsi="仿宋" w:eastAsia="仿宋" w:cs="仿宋_GB2312"/>
          <w:spacing w:val="-3"/>
          <w:sz w:val="32"/>
          <w:szCs w:val="32"/>
        </w:rPr>
        <w:t>省级及以上BIM大赛</w:t>
      </w:r>
      <w:r>
        <w:rPr>
          <w:rFonts w:hint="eastAsia" w:ascii="仿宋" w:hAnsi="仿宋" w:eastAsia="仿宋" w:cs="仿宋_GB2312"/>
          <w:spacing w:val="-3"/>
          <w:sz w:val="32"/>
          <w:szCs w:val="32"/>
        </w:rPr>
        <w:t>奖项的项目，不再重复参加本次比赛。</w:t>
      </w:r>
      <w:r>
        <w:rPr>
          <w:rFonts w:ascii="仿宋" w:hAnsi="仿宋" w:eastAsia="仿宋" w:cs="仿宋_GB2312"/>
          <w:spacing w:val="-3"/>
          <w:sz w:val="32"/>
          <w:szCs w:val="32"/>
        </w:rPr>
        <w:t>(</w:t>
      </w:r>
      <w:r>
        <w:rPr>
          <w:rFonts w:hint="eastAsia" w:ascii="仿宋" w:hAnsi="仿宋" w:eastAsia="仿宋" w:cs="仿宋_GB2312"/>
          <w:spacing w:val="-3"/>
          <w:sz w:val="32"/>
          <w:szCs w:val="32"/>
        </w:rPr>
        <w:t>省级及以上B</w:t>
      </w:r>
      <w:r>
        <w:rPr>
          <w:rFonts w:ascii="仿宋" w:hAnsi="仿宋" w:eastAsia="仿宋" w:cs="仿宋_GB2312"/>
          <w:spacing w:val="-3"/>
          <w:sz w:val="32"/>
          <w:szCs w:val="32"/>
        </w:rPr>
        <w:t>IM</w:t>
      </w:r>
      <w:r>
        <w:rPr>
          <w:rFonts w:hint="eastAsia" w:ascii="仿宋" w:hAnsi="仿宋" w:eastAsia="仿宋" w:cs="仿宋_GB2312"/>
          <w:spacing w:val="-3"/>
          <w:sz w:val="32"/>
          <w:szCs w:val="32"/>
        </w:rPr>
        <w:t>大赛如:</w:t>
      </w:r>
      <w:r>
        <w:rPr>
          <w:sz w:val="32"/>
          <w:szCs w:val="32"/>
        </w:rPr>
        <w:t xml:space="preserve"> </w:t>
      </w:r>
      <w:r>
        <w:rPr>
          <w:rFonts w:hint="eastAsia" w:ascii="仿宋" w:hAnsi="仿宋" w:eastAsia="仿宋" w:cs="仿宋_GB2312"/>
          <w:spacing w:val="-3"/>
          <w:sz w:val="32"/>
          <w:szCs w:val="32"/>
        </w:rPr>
        <w:t>福建省</w:t>
      </w:r>
      <w:r>
        <w:rPr>
          <w:rFonts w:ascii="仿宋" w:hAnsi="仿宋" w:eastAsia="仿宋" w:cs="仿宋_GB2312"/>
          <w:spacing w:val="-3"/>
          <w:sz w:val="32"/>
          <w:szCs w:val="32"/>
        </w:rPr>
        <w:t>建筑信息模型（BIM）技术应用大赛</w:t>
      </w:r>
      <w:r>
        <w:rPr>
          <w:rFonts w:hint="eastAsia" w:ascii="仿宋" w:hAnsi="仿宋" w:eastAsia="仿宋" w:cs="仿宋_GB2312"/>
          <w:spacing w:val="-3"/>
          <w:sz w:val="32"/>
          <w:szCs w:val="32"/>
        </w:rPr>
        <w:t>、龙图杯、创新杯、工程建设行业B</w:t>
      </w:r>
      <w:r>
        <w:rPr>
          <w:rFonts w:ascii="仿宋" w:hAnsi="仿宋" w:eastAsia="仿宋" w:cs="仿宋_GB2312"/>
          <w:spacing w:val="-3"/>
          <w:sz w:val="32"/>
          <w:szCs w:val="32"/>
        </w:rPr>
        <w:t>IM</w:t>
      </w:r>
      <w:r>
        <w:rPr>
          <w:rFonts w:hint="eastAsia" w:ascii="仿宋" w:hAnsi="仿宋" w:eastAsia="仿宋" w:cs="仿宋_GB2312"/>
          <w:spacing w:val="-3"/>
          <w:sz w:val="32"/>
          <w:szCs w:val="32"/>
        </w:rPr>
        <w:t>大赛等</w:t>
      </w:r>
      <w:r>
        <w:rPr>
          <w:rFonts w:ascii="仿宋" w:hAnsi="仿宋" w:eastAsia="仿宋" w:cs="仿宋_GB2312"/>
          <w:spacing w:val="-3"/>
          <w:sz w:val="32"/>
          <w:szCs w:val="32"/>
        </w:rPr>
        <w:t>)</w:t>
      </w:r>
    </w:p>
    <w:p>
      <w:pPr>
        <w:pStyle w:val="5"/>
        <w:numPr>
          <w:ilvl w:val="0"/>
          <w:numId w:val="0"/>
        </w:numPr>
        <w:spacing w:line="360" w:lineRule="auto"/>
        <w:ind w:leftChars="0"/>
        <w:outlineLvl w:val="0"/>
        <w:rPr>
          <w:rFonts w:ascii="仿宋" w:hAnsi="仿宋" w:eastAsia="仿宋" w:cs="仿宋_GB2312"/>
          <w:b/>
          <w:bCs/>
          <w:spacing w:val="-3"/>
          <w:sz w:val="32"/>
          <w:szCs w:val="32"/>
        </w:rPr>
      </w:pPr>
      <w:r>
        <w:rPr>
          <w:rFonts w:hint="eastAsia" w:ascii="仿宋" w:hAnsi="仿宋" w:eastAsia="仿宋" w:cs="仿宋_GB2312"/>
          <w:b/>
          <w:bCs/>
          <w:spacing w:val="-3"/>
          <w:sz w:val="32"/>
          <w:szCs w:val="32"/>
          <w:lang w:eastAsia="zh-CN"/>
        </w:rPr>
        <w:t>二、</w:t>
      </w:r>
      <w:r>
        <w:rPr>
          <w:rFonts w:hint="eastAsia" w:ascii="仿宋" w:hAnsi="仿宋" w:eastAsia="仿宋" w:cs="仿宋_GB2312"/>
          <w:b/>
          <w:bCs/>
          <w:spacing w:val="-3"/>
          <w:sz w:val="32"/>
          <w:szCs w:val="32"/>
        </w:rPr>
        <w:t>成果提交要求</w:t>
      </w:r>
    </w:p>
    <w:p>
      <w:pPr>
        <w:pStyle w:val="2"/>
        <w:spacing w:line="360" w:lineRule="auto"/>
        <w:ind w:left="565" w:leftChars="257"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参赛单位正式提交报名申请表后，参赛单位、参赛人员及成果名称等信息不可更改。参赛成果上传至</w:t>
      </w:r>
      <w:r>
        <w:rPr>
          <w:rFonts w:hint="eastAsia" w:ascii="仿宋" w:hAnsi="仿宋" w:eastAsia="仿宋" w:cs="仿宋_GB2312"/>
          <w:spacing w:val="-3"/>
          <w:sz w:val="32"/>
          <w:szCs w:val="32"/>
        </w:rPr>
        <w:t>学会</w:t>
      </w:r>
      <w:r>
        <w:rPr>
          <w:rFonts w:ascii="仿宋" w:hAnsi="仿宋" w:eastAsia="仿宋" w:cs="仿宋_GB2312"/>
          <w:spacing w:val="-3"/>
          <w:sz w:val="32"/>
          <w:szCs w:val="32"/>
        </w:rPr>
        <w:t>官网，</w:t>
      </w:r>
      <w:r>
        <w:rPr>
          <w:rFonts w:hint="eastAsia" w:ascii="仿宋" w:hAnsi="仿宋" w:eastAsia="仿宋" w:cs="仿宋_GB2312"/>
          <w:spacing w:val="-3"/>
          <w:sz w:val="32"/>
          <w:szCs w:val="32"/>
        </w:rPr>
        <w:t>网址：</w:t>
      </w:r>
      <w:r>
        <w:rPr>
          <w:rFonts w:ascii="仿宋" w:hAnsi="仿宋" w:eastAsia="仿宋" w:cs="仿宋_GB2312"/>
          <w:spacing w:val="-3"/>
          <w:sz w:val="32"/>
          <w:szCs w:val="32"/>
        </w:rPr>
        <w:t>http://www.xmtmxh.cn/,上传如下内容：</w:t>
      </w:r>
    </w:p>
    <w:p>
      <w:pPr>
        <w:pStyle w:val="2"/>
        <w:spacing w:line="360" w:lineRule="auto"/>
        <w:ind w:left="565" w:leftChars="257"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1、</w:t>
      </w:r>
      <w:r>
        <w:rPr>
          <w:rFonts w:hint="eastAsia" w:ascii="仿宋" w:hAnsi="仿宋" w:eastAsia="仿宋" w:cs="仿宋_GB2312"/>
          <w:spacing w:val="-3"/>
          <w:sz w:val="32"/>
          <w:szCs w:val="32"/>
          <w:lang w:val="en-US" w:eastAsia="zh-CN"/>
        </w:rPr>
        <w:t>提交报名表：电子版报名表</w:t>
      </w:r>
      <w:r>
        <w:rPr>
          <w:rFonts w:hint="eastAsia" w:ascii="仿宋" w:hAnsi="仿宋" w:eastAsia="仿宋" w:cs="仿宋_GB2312"/>
          <w:spacing w:val="-3"/>
          <w:sz w:val="32"/>
          <w:szCs w:val="32"/>
        </w:rPr>
        <w:t>1份</w:t>
      </w:r>
      <w:r>
        <w:rPr>
          <w:rFonts w:ascii="仿宋" w:hAnsi="仿宋" w:eastAsia="仿宋" w:cs="仿宋_GB2312"/>
          <w:spacing w:val="-3"/>
          <w:sz w:val="32"/>
          <w:szCs w:val="32"/>
        </w:rPr>
        <w:t>（WORD</w:t>
      </w:r>
      <w:r>
        <w:rPr>
          <w:rFonts w:hint="eastAsia" w:ascii="仿宋" w:hAnsi="仿宋" w:eastAsia="仿宋" w:cs="仿宋_GB2312"/>
          <w:spacing w:val="-3"/>
          <w:sz w:val="32"/>
          <w:szCs w:val="32"/>
        </w:rPr>
        <w:t>格式</w:t>
      </w:r>
      <w:r>
        <w:rPr>
          <w:rFonts w:ascii="仿宋" w:hAnsi="仿宋" w:eastAsia="仿宋" w:cs="仿宋_GB2312"/>
          <w:spacing w:val="-3"/>
          <w:sz w:val="32"/>
          <w:szCs w:val="32"/>
        </w:rPr>
        <w:t>）</w:t>
      </w:r>
      <w:r>
        <w:rPr>
          <w:rFonts w:hint="eastAsia" w:ascii="仿宋" w:hAnsi="仿宋" w:eastAsia="仿宋" w:cs="仿宋_GB2312"/>
          <w:spacing w:val="-3"/>
          <w:sz w:val="32"/>
          <w:szCs w:val="32"/>
          <w:lang w:eastAsia="zh-CN"/>
        </w:rPr>
        <w:t>；</w:t>
      </w:r>
    </w:p>
    <w:p>
      <w:pPr>
        <w:pStyle w:val="2"/>
        <w:spacing w:line="360" w:lineRule="auto"/>
        <w:ind w:left="565" w:leftChars="257" w:firstLine="628" w:firstLineChars="200"/>
        <w:jc w:val="both"/>
        <w:rPr>
          <w:rFonts w:ascii="仿宋" w:hAnsi="仿宋" w:eastAsia="仿宋" w:cs="仿宋_GB2312"/>
          <w:spacing w:val="-3"/>
          <w:sz w:val="32"/>
          <w:szCs w:val="32"/>
        </w:rPr>
      </w:pPr>
      <w:r>
        <w:rPr>
          <w:rFonts w:hint="eastAsia" w:ascii="华文宋体" w:hAnsi="华文宋体" w:eastAsia="华文宋体" w:cs="仿宋_GB2312"/>
          <w:spacing w:val="-3"/>
          <w:sz w:val="32"/>
          <w:szCs w:val="32"/>
          <w:lang w:val="en-US" w:eastAsia="zh-CN"/>
        </w:rPr>
        <w:t>2</w:t>
      </w:r>
      <w:r>
        <w:rPr>
          <w:rFonts w:ascii="仿宋" w:hAnsi="仿宋" w:eastAsia="仿宋" w:cs="仿宋_GB2312"/>
          <w:spacing w:val="-3"/>
          <w:sz w:val="32"/>
          <w:szCs w:val="32"/>
        </w:rPr>
        <w:t>、提交申报表：电子版申报表</w:t>
      </w:r>
      <w:r>
        <w:rPr>
          <w:rFonts w:hint="eastAsia" w:ascii="仿宋" w:hAnsi="仿宋" w:eastAsia="仿宋" w:cs="仿宋_GB2312"/>
          <w:spacing w:val="-3"/>
          <w:sz w:val="32"/>
          <w:szCs w:val="32"/>
        </w:rPr>
        <w:t>1份</w:t>
      </w:r>
      <w:r>
        <w:rPr>
          <w:rFonts w:ascii="仿宋" w:hAnsi="仿宋" w:eastAsia="仿宋" w:cs="仿宋_GB2312"/>
          <w:spacing w:val="-3"/>
          <w:sz w:val="32"/>
          <w:szCs w:val="32"/>
        </w:rPr>
        <w:t>（WORD</w:t>
      </w:r>
      <w:r>
        <w:rPr>
          <w:rFonts w:hint="eastAsia" w:ascii="仿宋" w:hAnsi="仿宋" w:eastAsia="仿宋" w:cs="仿宋_GB2312"/>
          <w:spacing w:val="-3"/>
          <w:sz w:val="32"/>
          <w:szCs w:val="32"/>
        </w:rPr>
        <w:t>格式</w:t>
      </w:r>
      <w:r>
        <w:rPr>
          <w:rFonts w:ascii="仿宋" w:hAnsi="仿宋" w:eastAsia="仿宋" w:cs="仿宋_GB2312"/>
          <w:spacing w:val="-3"/>
          <w:sz w:val="32"/>
          <w:szCs w:val="32"/>
        </w:rPr>
        <w:t>）；申报表盖章扫描件1份。</w:t>
      </w:r>
    </w:p>
    <w:p>
      <w:pPr>
        <w:pStyle w:val="2"/>
        <w:spacing w:line="360" w:lineRule="auto"/>
        <w:ind w:left="565" w:leftChars="257" w:firstLine="628" w:firstLineChars="200"/>
        <w:jc w:val="both"/>
        <w:rPr>
          <w:rFonts w:ascii="仿宋" w:hAnsi="仿宋" w:eastAsia="仿宋" w:cs="仿宋_GB2312"/>
          <w:spacing w:val="-3"/>
          <w:sz w:val="32"/>
          <w:szCs w:val="32"/>
        </w:rPr>
      </w:pPr>
      <w:r>
        <w:rPr>
          <w:rFonts w:hint="eastAsia" w:ascii="仿宋" w:hAnsi="仿宋" w:eastAsia="仿宋" w:cs="仿宋_GB2312"/>
          <w:spacing w:val="-3"/>
          <w:sz w:val="32"/>
          <w:szCs w:val="32"/>
          <w:lang w:val="en-US" w:eastAsia="zh-CN"/>
        </w:rPr>
        <w:t>3</w:t>
      </w:r>
      <w:r>
        <w:rPr>
          <w:rFonts w:ascii="仿宋" w:hAnsi="仿宋" w:eastAsia="仿宋" w:cs="仿宋_GB2312"/>
          <w:spacing w:val="-3"/>
          <w:sz w:val="32"/>
          <w:szCs w:val="32"/>
        </w:rPr>
        <w:t>、BIM应用成果总结PPT：工程概况、BIM团队简介、软硬件环境、BIM应用特点、创新点及效果等</w:t>
      </w:r>
      <w:r>
        <w:rPr>
          <w:rFonts w:hint="eastAsia" w:ascii="仿宋" w:hAnsi="仿宋" w:eastAsia="仿宋" w:cs="仿宋_GB2312"/>
          <w:spacing w:val="-3"/>
          <w:sz w:val="32"/>
          <w:szCs w:val="32"/>
        </w:rPr>
        <w:t>，不体现参赛企业信息</w:t>
      </w:r>
      <w:r>
        <w:rPr>
          <w:rFonts w:ascii="仿宋" w:hAnsi="仿宋" w:eastAsia="仿宋" w:cs="仿宋_GB2312"/>
          <w:spacing w:val="-3"/>
          <w:sz w:val="32"/>
          <w:szCs w:val="32"/>
        </w:rPr>
        <w:t>。</w:t>
      </w:r>
    </w:p>
    <w:p>
      <w:pPr>
        <w:pStyle w:val="2"/>
        <w:spacing w:line="360" w:lineRule="auto"/>
        <w:ind w:left="565" w:leftChars="257" w:firstLine="628" w:firstLineChars="200"/>
        <w:jc w:val="both"/>
        <w:rPr>
          <w:rFonts w:ascii="仿宋" w:hAnsi="仿宋" w:eastAsia="仿宋" w:cs="仿宋_GB2312"/>
          <w:spacing w:val="-3"/>
          <w:sz w:val="32"/>
          <w:szCs w:val="32"/>
        </w:rPr>
      </w:pPr>
      <w:r>
        <w:rPr>
          <w:rFonts w:hint="eastAsia" w:ascii="仿宋" w:hAnsi="仿宋" w:eastAsia="仿宋" w:cs="仿宋_GB2312"/>
          <w:spacing w:val="-3"/>
          <w:sz w:val="32"/>
          <w:szCs w:val="32"/>
          <w:lang w:val="en-US" w:eastAsia="zh-CN"/>
        </w:rPr>
        <w:t>4</w:t>
      </w:r>
      <w:r>
        <w:rPr>
          <w:rFonts w:ascii="仿宋" w:hAnsi="仿宋" w:eastAsia="仿宋" w:cs="仿宋_GB2312"/>
          <w:spacing w:val="-3"/>
          <w:sz w:val="32"/>
          <w:szCs w:val="32"/>
        </w:rPr>
        <w:t>、项目模型：需提交</w:t>
      </w:r>
      <w:r>
        <w:rPr>
          <w:rFonts w:hint="eastAsia" w:ascii="仿宋" w:hAnsi="仿宋" w:eastAsia="仿宋" w:cs="仿宋_GB2312"/>
          <w:spacing w:val="-3"/>
          <w:sz w:val="32"/>
          <w:szCs w:val="32"/>
        </w:rPr>
        <w:t>B</w:t>
      </w:r>
      <w:r>
        <w:rPr>
          <w:rFonts w:ascii="仿宋" w:hAnsi="仿宋" w:eastAsia="仿宋" w:cs="仿宋_GB2312"/>
          <w:spacing w:val="-3"/>
          <w:sz w:val="32"/>
          <w:szCs w:val="32"/>
        </w:rPr>
        <w:t>IM模型文件。</w:t>
      </w:r>
    </w:p>
    <w:p>
      <w:pPr>
        <w:pStyle w:val="2"/>
        <w:spacing w:line="360" w:lineRule="auto"/>
        <w:ind w:left="565" w:leftChars="257" w:firstLine="628" w:firstLineChars="200"/>
        <w:jc w:val="both"/>
        <w:rPr>
          <w:rFonts w:ascii="仿宋" w:hAnsi="仿宋" w:eastAsia="仿宋" w:cs="仿宋_GB2312"/>
          <w:spacing w:val="-3"/>
          <w:sz w:val="32"/>
          <w:szCs w:val="32"/>
        </w:rPr>
      </w:pPr>
      <w:r>
        <w:rPr>
          <w:rFonts w:hint="eastAsia" w:ascii="仿宋" w:hAnsi="仿宋" w:eastAsia="仿宋" w:cs="仿宋_GB2312"/>
          <w:spacing w:val="-3"/>
          <w:sz w:val="32"/>
          <w:szCs w:val="32"/>
          <w:lang w:val="en-US" w:eastAsia="zh-CN"/>
        </w:rPr>
        <w:t>5</w:t>
      </w:r>
      <w:r>
        <w:rPr>
          <w:rFonts w:ascii="仿宋" w:hAnsi="仿宋" w:eastAsia="仿宋" w:cs="仿宋_GB2312"/>
          <w:spacing w:val="-3"/>
          <w:sz w:val="32"/>
          <w:szCs w:val="32"/>
        </w:rPr>
        <w:t>、视频文件：展示参赛成果BIM应用特点和创新点、BIM 应用情况、模型漫游视频、多专业应用软件操作演示、自主研发软件应用操作展示等；视频时长不超过5分钟。视频格式为mp4，画面清晰流畅</w:t>
      </w:r>
      <w:r>
        <w:rPr>
          <w:rFonts w:hint="eastAsia" w:ascii="仿宋" w:hAnsi="仿宋" w:eastAsia="仿宋" w:cs="仿宋_GB2312"/>
          <w:spacing w:val="-3"/>
          <w:sz w:val="32"/>
          <w:szCs w:val="32"/>
        </w:rPr>
        <w:t>，不体现参赛企业信息</w:t>
      </w:r>
      <w:r>
        <w:rPr>
          <w:rFonts w:ascii="仿宋" w:hAnsi="仿宋" w:eastAsia="仿宋" w:cs="仿宋_GB2312"/>
          <w:spacing w:val="-3"/>
          <w:sz w:val="32"/>
          <w:szCs w:val="32"/>
        </w:rPr>
        <w:t>。</w:t>
      </w:r>
    </w:p>
    <w:p>
      <w:pPr>
        <w:pStyle w:val="2"/>
        <w:spacing w:line="360" w:lineRule="auto"/>
        <w:ind w:left="565" w:leftChars="257" w:firstLine="628" w:firstLineChars="200"/>
        <w:jc w:val="both"/>
        <w:rPr>
          <w:rFonts w:ascii="仿宋" w:hAnsi="仿宋" w:eastAsia="仿宋" w:cs="仿宋_GB2312"/>
          <w:spacing w:val="-3"/>
          <w:sz w:val="32"/>
          <w:szCs w:val="32"/>
        </w:rPr>
      </w:pPr>
      <w:r>
        <w:rPr>
          <w:rFonts w:hint="eastAsia" w:ascii="仿宋" w:hAnsi="仿宋" w:eastAsia="仿宋" w:cs="仿宋_GB2312"/>
          <w:spacing w:val="-3"/>
          <w:sz w:val="32"/>
          <w:szCs w:val="32"/>
          <w:lang w:val="en-US" w:eastAsia="zh-CN"/>
        </w:rPr>
        <w:t>6</w:t>
      </w:r>
      <w:r>
        <w:rPr>
          <w:rFonts w:hint="eastAsia" w:ascii="仿宋" w:hAnsi="仿宋" w:eastAsia="仿宋" w:cs="仿宋_GB2312"/>
          <w:spacing w:val="-3"/>
          <w:sz w:val="32"/>
          <w:szCs w:val="32"/>
        </w:rPr>
        <w:t>、上传文件，</w:t>
      </w:r>
      <w:r>
        <w:rPr>
          <w:rFonts w:hint="eastAsia" w:ascii="仿宋" w:hAnsi="仿宋" w:eastAsia="仿宋"/>
          <w:sz w:val="32"/>
          <w:szCs w:val="32"/>
        </w:rPr>
        <w:t>单文件控制5</w:t>
      </w:r>
      <w:r>
        <w:rPr>
          <w:rFonts w:ascii="仿宋" w:hAnsi="仿宋" w:eastAsia="仿宋"/>
          <w:sz w:val="32"/>
          <w:szCs w:val="32"/>
        </w:rPr>
        <w:t>00M</w:t>
      </w:r>
      <w:r>
        <w:rPr>
          <w:rFonts w:hint="eastAsia" w:ascii="仿宋" w:hAnsi="仿宋" w:eastAsia="仿宋"/>
          <w:sz w:val="32"/>
          <w:szCs w:val="32"/>
        </w:rPr>
        <w:t>以内。</w:t>
      </w:r>
    </w:p>
    <w:p>
      <w:pPr>
        <w:pStyle w:val="2"/>
        <w:spacing w:line="360" w:lineRule="auto"/>
        <w:ind w:left="565" w:leftChars="257" w:firstLine="628" w:firstLineChars="200"/>
        <w:jc w:val="both"/>
        <w:rPr>
          <w:rFonts w:ascii="华文宋体" w:hAnsi="华文宋体" w:eastAsia="华文宋体" w:cs="仿宋_GB2312"/>
          <w:spacing w:val="-3"/>
          <w:sz w:val="32"/>
          <w:szCs w:val="32"/>
        </w:rPr>
      </w:pPr>
      <w:r>
        <w:rPr>
          <w:rFonts w:ascii="仿宋" w:hAnsi="仿宋" w:eastAsia="仿宋" w:cs="仿宋_GB2312"/>
          <w:spacing w:val="-3"/>
          <w:sz w:val="32"/>
          <w:szCs w:val="32"/>
        </w:rPr>
        <w:t>上述文件提交齐全</w:t>
      </w:r>
      <w:r>
        <w:rPr>
          <w:rFonts w:hint="eastAsia" w:ascii="仿宋" w:hAnsi="仿宋" w:eastAsia="仿宋" w:cs="仿宋_GB2312"/>
          <w:spacing w:val="-3"/>
          <w:sz w:val="32"/>
          <w:szCs w:val="32"/>
          <w:lang w:eastAsia="zh-CN"/>
        </w:rPr>
        <w:t>，经审核确定</w:t>
      </w:r>
      <w:r>
        <w:rPr>
          <w:rFonts w:ascii="仿宋" w:hAnsi="仿宋" w:eastAsia="仿宋" w:cs="仿宋_GB2312"/>
          <w:spacing w:val="-3"/>
          <w:sz w:val="32"/>
          <w:szCs w:val="32"/>
        </w:rPr>
        <w:t>为有效申报材料；此类文件仅用于评委会评审之用途；参赛成果原则上不予退还，请参赛者自行保存底稿。</w:t>
      </w:r>
    </w:p>
    <w:p>
      <w:pPr>
        <w:pStyle w:val="5"/>
        <w:numPr>
          <w:ilvl w:val="0"/>
          <w:numId w:val="0"/>
        </w:numPr>
        <w:spacing w:line="360" w:lineRule="auto"/>
        <w:ind w:leftChars="0"/>
        <w:outlineLvl w:val="0"/>
        <w:rPr>
          <w:rFonts w:ascii="仿宋" w:hAnsi="仿宋" w:eastAsia="仿宋" w:cs="仿宋_GB2312"/>
          <w:b/>
          <w:bCs/>
          <w:spacing w:val="-3"/>
          <w:sz w:val="32"/>
          <w:szCs w:val="32"/>
        </w:rPr>
      </w:pPr>
      <w:r>
        <w:rPr>
          <w:rFonts w:hint="eastAsia" w:ascii="仿宋" w:hAnsi="仿宋" w:eastAsia="仿宋" w:cs="仿宋_GB2312"/>
          <w:b/>
          <w:bCs/>
          <w:spacing w:val="-3"/>
          <w:sz w:val="32"/>
          <w:szCs w:val="32"/>
          <w:lang w:eastAsia="zh-CN"/>
        </w:rPr>
        <w:t>三、</w:t>
      </w:r>
      <w:r>
        <w:rPr>
          <w:rFonts w:hint="eastAsia" w:ascii="仿宋" w:hAnsi="仿宋" w:eastAsia="仿宋" w:cs="仿宋_GB2312"/>
          <w:b/>
          <w:bCs/>
          <w:spacing w:val="-3"/>
          <w:sz w:val="32"/>
          <w:szCs w:val="32"/>
        </w:rPr>
        <w:t>奖项设置</w:t>
      </w:r>
    </w:p>
    <w:p>
      <w:pPr>
        <w:pStyle w:val="2"/>
        <w:numPr>
          <w:ilvl w:val="0"/>
          <w:numId w:val="0"/>
        </w:numPr>
        <w:spacing w:line="360" w:lineRule="auto"/>
        <w:ind w:firstLine="640" w:firstLineChars="200"/>
        <w:jc w:val="both"/>
        <w:rPr>
          <w:rFonts w:ascii="仿宋" w:hAnsi="仿宋" w:eastAsia="仿宋" w:cs="仿宋_GB2312"/>
          <w:sz w:val="32"/>
          <w:szCs w:val="32"/>
        </w:rPr>
      </w:pPr>
      <w:r>
        <w:rPr>
          <w:rFonts w:hint="eastAsia" w:ascii="仿宋" w:hAnsi="仿宋" w:eastAsia="仿宋" w:cs="仿宋_GB2312"/>
          <w:sz w:val="32"/>
          <w:szCs w:val="32"/>
          <w:lang w:eastAsia="zh-CN"/>
        </w:rPr>
        <w:t>（一）</w:t>
      </w:r>
      <w:r>
        <w:rPr>
          <w:rFonts w:ascii="仿宋" w:hAnsi="仿宋" w:eastAsia="仿宋" w:cs="仿宋_GB2312"/>
          <w:sz w:val="32"/>
          <w:szCs w:val="32"/>
        </w:rPr>
        <w:t>参赛成果将按设计组、施工组、综合组分设一等奖（数量为有效参赛成果总数的10%）、二等奖（数量为有效参赛成果总数的20%）、三等奖（数量为有效参赛成果总数的35%）和最佳应用企业奖（每组一名，共三名）。奖项设置为：</w:t>
      </w:r>
    </w:p>
    <w:p>
      <w:pPr>
        <w:pStyle w:val="2"/>
        <w:spacing w:line="360" w:lineRule="auto"/>
        <w:ind w:left="0" w:leftChars="0"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设计组：设计阶段应用BIM技术的成果。</w:t>
      </w:r>
    </w:p>
    <w:p>
      <w:pPr>
        <w:pStyle w:val="2"/>
        <w:spacing w:line="360" w:lineRule="auto"/>
        <w:ind w:left="0" w:leftChars="0"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施工组：施工阶段应用BIM技术的成果。</w:t>
      </w:r>
    </w:p>
    <w:p>
      <w:pPr>
        <w:pStyle w:val="2"/>
        <w:spacing w:line="360" w:lineRule="auto"/>
        <w:ind w:left="0" w:leftChars="0"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综合组：包含设计、施工、运维等两个及以上阶段中应用BIM技术的成果。</w:t>
      </w:r>
    </w:p>
    <w:p>
      <w:pPr>
        <w:pStyle w:val="2"/>
        <w:numPr>
          <w:ilvl w:val="0"/>
          <w:numId w:val="0"/>
        </w:numPr>
        <w:spacing w:line="360" w:lineRule="auto"/>
        <w:ind w:firstLine="640" w:firstLineChars="200"/>
        <w:jc w:val="both"/>
        <w:rPr>
          <w:rFonts w:hint="eastAsia" w:ascii="仿宋" w:hAnsi="仿宋" w:eastAsia="仿宋" w:cs="仿宋_GB2312"/>
          <w:sz w:val="32"/>
          <w:szCs w:val="32"/>
        </w:rPr>
      </w:pPr>
      <w:r>
        <w:rPr>
          <w:rFonts w:hint="eastAsia" w:ascii="仿宋" w:hAnsi="仿宋" w:eastAsia="仿宋" w:cs="仿宋_GB2312"/>
          <w:sz w:val="32"/>
          <w:szCs w:val="32"/>
          <w:lang w:eastAsia="zh-CN"/>
        </w:rPr>
        <w:t>（二）</w:t>
      </w:r>
      <w:r>
        <w:rPr>
          <w:rFonts w:ascii="仿宋" w:hAnsi="仿宋" w:eastAsia="仿宋" w:cs="仿宋_GB2312"/>
          <w:sz w:val="32"/>
          <w:szCs w:val="32"/>
        </w:rPr>
        <w:t>最佳应用企业奖按设计组、施工组和综合组各分设一名。</w:t>
      </w:r>
    </w:p>
    <w:p>
      <w:pPr>
        <w:pStyle w:val="5"/>
        <w:numPr>
          <w:ilvl w:val="0"/>
          <w:numId w:val="0"/>
        </w:numPr>
        <w:spacing w:line="360" w:lineRule="auto"/>
        <w:ind w:leftChars="0"/>
        <w:outlineLvl w:val="0"/>
        <w:rPr>
          <w:rFonts w:ascii="仿宋" w:hAnsi="仿宋" w:eastAsia="仿宋" w:cs="仿宋_GB2312"/>
          <w:b/>
          <w:bCs/>
          <w:spacing w:val="-3"/>
          <w:sz w:val="32"/>
          <w:szCs w:val="32"/>
        </w:rPr>
      </w:pPr>
      <w:r>
        <w:rPr>
          <w:rFonts w:hint="eastAsia" w:ascii="仿宋" w:hAnsi="仿宋" w:eastAsia="仿宋" w:cs="仿宋_GB2312"/>
          <w:b/>
          <w:bCs/>
          <w:spacing w:val="-3"/>
          <w:sz w:val="32"/>
          <w:szCs w:val="32"/>
          <w:lang w:eastAsia="zh-CN"/>
        </w:rPr>
        <w:t>四、</w:t>
      </w:r>
      <w:r>
        <w:rPr>
          <w:rFonts w:hint="eastAsia" w:ascii="仿宋" w:hAnsi="仿宋" w:eastAsia="仿宋" w:cs="仿宋_GB2312"/>
          <w:b/>
          <w:bCs/>
          <w:spacing w:val="-3"/>
          <w:sz w:val="32"/>
          <w:szCs w:val="32"/>
        </w:rPr>
        <w:t>评比原则</w:t>
      </w:r>
    </w:p>
    <w:tbl>
      <w:tblPr>
        <w:tblStyle w:val="4"/>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6804"/>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jc w:val="center"/>
        </w:trPr>
        <w:tc>
          <w:tcPr>
            <w:tcW w:w="704" w:type="dxa"/>
            <w:vAlign w:val="center"/>
          </w:tcPr>
          <w:p>
            <w:pPr>
              <w:tabs>
                <w:tab w:val="left" w:pos="317"/>
              </w:tabs>
              <w:spacing w:line="276" w:lineRule="auto"/>
              <w:jc w:val="center"/>
              <w:rPr>
                <w:rFonts w:ascii="宋体" w:hAnsi="宋体" w:cs="宋体"/>
                <w:b/>
                <w:bCs/>
                <w:szCs w:val="18"/>
              </w:rPr>
            </w:pPr>
            <w:r>
              <w:rPr>
                <w:rFonts w:hint="eastAsia" w:ascii="宋体" w:hAnsi="宋体" w:cs="宋体"/>
                <w:b/>
                <w:bCs/>
                <w:szCs w:val="18"/>
              </w:rPr>
              <w:t>编号</w:t>
            </w:r>
          </w:p>
        </w:tc>
        <w:tc>
          <w:tcPr>
            <w:tcW w:w="709" w:type="dxa"/>
            <w:vAlign w:val="center"/>
          </w:tcPr>
          <w:p>
            <w:pPr>
              <w:spacing w:line="276" w:lineRule="auto"/>
              <w:jc w:val="center"/>
              <w:rPr>
                <w:rFonts w:ascii="宋体" w:hAnsi="宋体" w:cs="宋体"/>
                <w:b/>
                <w:bCs/>
                <w:szCs w:val="18"/>
              </w:rPr>
            </w:pPr>
            <w:r>
              <w:rPr>
                <w:rFonts w:hint="eastAsia" w:ascii="宋体" w:hAnsi="宋体" w:cs="宋体"/>
                <w:b/>
                <w:bCs/>
                <w:szCs w:val="18"/>
              </w:rPr>
              <w:t>维度</w:t>
            </w:r>
          </w:p>
        </w:tc>
        <w:tc>
          <w:tcPr>
            <w:tcW w:w="6804" w:type="dxa"/>
            <w:vAlign w:val="center"/>
          </w:tcPr>
          <w:p>
            <w:pPr>
              <w:pStyle w:val="6"/>
              <w:spacing w:line="276" w:lineRule="auto"/>
              <w:ind w:left="33" w:firstLine="0" w:firstLineChars="0"/>
              <w:jc w:val="center"/>
              <w:rPr>
                <w:rFonts w:ascii="宋体" w:hAnsi="宋体" w:eastAsia="宋体" w:cs="宋体"/>
                <w:b/>
                <w:bCs/>
                <w:szCs w:val="18"/>
              </w:rPr>
            </w:pPr>
            <w:r>
              <w:rPr>
                <w:rFonts w:hint="eastAsia" w:ascii="宋体" w:hAnsi="宋体" w:eastAsia="宋体" w:cs="宋体"/>
                <w:b/>
                <w:bCs/>
                <w:szCs w:val="18"/>
              </w:rPr>
              <w:t>原则</w:t>
            </w:r>
          </w:p>
        </w:tc>
        <w:tc>
          <w:tcPr>
            <w:tcW w:w="709" w:type="dxa"/>
          </w:tcPr>
          <w:p>
            <w:pPr>
              <w:pStyle w:val="6"/>
              <w:spacing w:line="276" w:lineRule="auto"/>
              <w:ind w:left="33" w:firstLine="0" w:firstLineChars="0"/>
              <w:jc w:val="center"/>
              <w:rPr>
                <w:rFonts w:ascii="宋体" w:hAnsi="宋体" w:eastAsia="宋体" w:cs="宋体"/>
                <w:b/>
                <w:bCs/>
                <w:szCs w:val="18"/>
              </w:rPr>
            </w:pPr>
            <w:r>
              <w:rPr>
                <w:rFonts w:hint="eastAsia" w:ascii="宋体" w:hAnsi="宋体" w:eastAsia="宋体" w:cs="宋体"/>
                <w:b/>
                <w:bCs/>
                <w:szCs w:val="1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4" w:hRule="atLeast"/>
          <w:jc w:val="center"/>
        </w:trPr>
        <w:tc>
          <w:tcPr>
            <w:tcW w:w="704" w:type="dxa"/>
            <w:vAlign w:val="center"/>
          </w:tcPr>
          <w:p>
            <w:pPr>
              <w:tabs>
                <w:tab w:val="left" w:pos="317"/>
              </w:tabs>
              <w:spacing w:line="276" w:lineRule="auto"/>
              <w:jc w:val="center"/>
              <w:rPr>
                <w:rFonts w:ascii="宋体" w:hAnsi="宋体" w:cs="宋体"/>
                <w:szCs w:val="18"/>
              </w:rPr>
            </w:pPr>
            <w:r>
              <w:rPr>
                <w:rFonts w:hint="eastAsia" w:ascii="宋体" w:hAnsi="宋体" w:cs="宋体"/>
                <w:szCs w:val="18"/>
              </w:rPr>
              <w:t>1</w:t>
            </w:r>
          </w:p>
        </w:tc>
        <w:tc>
          <w:tcPr>
            <w:tcW w:w="709" w:type="dxa"/>
            <w:vAlign w:val="center"/>
          </w:tcPr>
          <w:p>
            <w:pPr>
              <w:spacing w:line="276" w:lineRule="auto"/>
              <w:jc w:val="center"/>
              <w:rPr>
                <w:rFonts w:hint="eastAsia" w:ascii="仿宋" w:hAnsi="仿宋" w:eastAsia="仿宋" w:cs="仿宋"/>
                <w:sz w:val="24"/>
                <w:szCs w:val="24"/>
              </w:rPr>
            </w:pPr>
            <w:r>
              <w:rPr>
                <w:rFonts w:hint="eastAsia" w:ascii="仿宋" w:hAnsi="仿宋" w:eastAsia="仿宋" w:cs="仿宋"/>
                <w:sz w:val="24"/>
                <w:szCs w:val="24"/>
              </w:rPr>
              <w:t>BIM应用基础</w:t>
            </w:r>
          </w:p>
        </w:tc>
        <w:tc>
          <w:tcPr>
            <w:tcW w:w="6804" w:type="dxa"/>
            <w:vAlign w:val="center"/>
          </w:tcPr>
          <w:p>
            <w:pPr>
              <w:spacing w:line="276" w:lineRule="auto"/>
              <w:rPr>
                <w:rFonts w:hint="eastAsia" w:ascii="仿宋" w:hAnsi="仿宋" w:eastAsia="仿宋" w:cs="仿宋"/>
                <w:sz w:val="24"/>
                <w:szCs w:val="24"/>
              </w:rPr>
            </w:pPr>
            <w:r>
              <w:rPr>
                <w:rFonts w:hint="eastAsia" w:ascii="仿宋" w:hAnsi="仿宋" w:eastAsia="仿宋" w:cs="仿宋"/>
                <w:b/>
                <w:sz w:val="24"/>
                <w:szCs w:val="24"/>
              </w:rPr>
              <w:t>考察制度、标准建设</w:t>
            </w:r>
          </w:p>
          <w:p>
            <w:pPr>
              <w:pStyle w:val="6"/>
              <w:numPr>
                <w:ilvl w:val="0"/>
                <w:numId w:val="2"/>
              </w:numPr>
              <w:spacing w:line="276" w:lineRule="auto"/>
              <w:ind w:firstLineChars="0"/>
              <w:jc w:val="left"/>
              <w:rPr>
                <w:rFonts w:hint="eastAsia" w:ascii="仿宋" w:hAnsi="仿宋" w:eastAsia="仿宋" w:cs="仿宋"/>
                <w:sz w:val="24"/>
                <w:szCs w:val="24"/>
              </w:rPr>
            </w:pPr>
            <w:r>
              <w:rPr>
                <w:rFonts w:hint="eastAsia" w:ascii="仿宋" w:hAnsi="仿宋" w:eastAsia="仿宋" w:cs="仿宋"/>
                <w:sz w:val="24"/>
                <w:szCs w:val="24"/>
              </w:rPr>
              <w:t>鼓励企业或项目建立完善的BIM实施制度和BIM标准；</w:t>
            </w:r>
          </w:p>
          <w:p>
            <w:pPr>
              <w:pStyle w:val="6"/>
              <w:numPr>
                <w:ilvl w:val="0"/>
                <w:numId w:val="2"/>
              </w:numPr>
              <w:spacing w:line="276" w:lineRule="auto"/>
              <w:ind w:firstLineChars="0"/>
              <w:jc w:val="left"/>
              <w:rPr>
                <w:rFonts w:hint="eastAsia" w:ascii="仿宋" w:hAnsi="仿宋" w:eastAsia="仿宋" w:cs="仿宋"/>
                <w:sz w:val="24"/>
                <w:szCs w:val="24"/>
              </w:rPr>
            </w:pPr>
            <w:r>
              <w:rPr>
                <w:rFonts w:hint="eastAsia" w:ascii="仿宋" w:hAnsi="仿宋" w:eastAsia="仿宋" w:cs="仿宋"/>
                <w:sz w:val="24"/>
                <w:szCs w:val="24"/>
              </w:rPr>
              <w:t>BIM实施制度能够保障BIM组织的有效运行和BIM工作开展；</w:t>
            </w:r>
          </w:p>
          <w:p>
            <w:pPr>
              <w:pStyle w:val="6"/>
              <w:numPr>
                <w:ilvl w:val="0"/>
                <w:numId w:val="2"/>
              </w:numPr>
              <w:spacing w:line="276" w:lineRule="auto"/>
              <w:ind w:firstLineChars="0"/>
              <w:jc w:val="left"/>
              <w:rPr>
                <w:rFonts w:hint="eastAsia" w:ascii="仿宋" w:hAnsi="仿宋" w:eastAsia="仿宋" w:cs="仿宋"/>
                <w:sz w:val="24"/>
                <w:szCs w:val="24"/>
              </w:rPr>
            </w:pPr>
            <w:r>
              <w:rPr>
                <w:rFonts w:hint="eastAsia" w:ascii="仿宋" w:hAnsi="仿宋" w:eastAsia="仿宋" w:cs="仿宋"/>
                <w:sz w:val="24"/>
                <w:szCs w:val="24"/>
              </w:rPr>
              <w:t>依据BIM模型创建标准及BIM数据应用标准创建的BIM数据，能够保障BIM应用点的有效实施。</w:t>
            </w:r>
          </w:p>
        </w:tc>
        <w:tc>
          <w:tcPr>
            <w:tcW w:w="709" w:type="dxa"/>
            <w:vAlign w:val="center"/>
          </w:tcPr>
          <w:p>
            <w:pPr>
              <w:spacing w:line="276" w:lineRule="auto"/>
              <w:jc w:val="center"/>
              <w:rPr>
                <w:rFonts w:hint="eastAsia" w:ascii="仿宋" w:hAnsi="仿宋" w:eastAsia="仿宋" w:cs="仿宋"/>
                <w:bCs/>
                <w:sz w:val="24"/>
                <w:szCs w:val="24"/>
              </w:rPr>
            </w:pPr>
            <w:r>
              <w:rPr>
                <w:rFonts w:hint="eastAsia" w:ascii="仿宋" w:hAnsi="仿宋" w:eastAsia="仿宋" w:cs="仿宋"/>
                <w:bCs/>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0" w:hRule="atLeast"/>
          <w:jc w:val="center"/>
        </w:trPr>
        <w:tc>
          <w:tcPr>
            <w:tcW w:w="704" w:type="dxa"/>
            <w:vAlign w:val="center"/>
          </w:tcPr>
          <w:p>
            <w:pPr>
              <w:tabs>
                <w:tab w:val="left" w:pos="317"/>
              </w:tabs>
              <w:spacing w:line="276" w:lineRule="auto"/>
              <w:jc w:val="center"/>
              <w:rPr>
                <w:rFonts w:ascii="宋体" w:hAnsi="宋体" w:cs="宋体"/>
                <w:szCs w:val="18"/>
              </w:rPr>
            </w:pPr>
            <w:r>
              <w:rPr>
                <w:rFonts w:hint="eastAsia" w:ascii="宋体" w:hAnsi="宋体" w:cs="宋体"/>
                <w:szCs w:val="18"/>
              </w:rPr>
              <w:t>2</w:t>
            </w:r>
          </w:p>
        </w:tc>
        <w:tc>
          <w:tcPr>
            <w:tcW w:w="709" w:type="dxa"/>
            <w:vAlign w:val="center"/>
          </w:tcPr>
          <w:p>
            <w:pPr>
              <w:spacing w:line="276" w:lineRule="auto"/>
              <w:jc w:val="center"/>
              <w:rPr>
                <w:rFonts w:hint="eastAsia" w:ascii="仿宋" w:hAnsi="仿宋" w:eastAsia="仿宋" w:cs="仿宋"/>
                <w:sz w:val="24"/>
                <w:szCs w:val="24"/>
              </w:rPr>
            </w:pPr>
            <w:r>
              <w:rPr>
                <w:rFonts w:hint="eastAsia" w:ascii="仿宋" w:hAnsi="仿宋" w:eastAsia="仿宋" w:cs="仿宋"/>
                <w:sz w:val="24"/>
                <w:szCs w:val="24"/>
              </w:rPr>
              <w:t>BIM建模质量</w:t>
            </w:r>
          </w:p>
        </w:tc>
        <w:tc>
          <w:tcPr>
            <w:tcW w:w="6804" w:type="dxa"/>
            <w:vAlign w:val="center"/>
          </w:tcPr>
          <w:p>
            <w:pPr>
              <w:spacing w:line="276" w:lineRule="auto"/>
              <w:rPr>
                <w:rFonts w:hint="eastAsia" w:ascii="仿宋" w:hAnsi="仿宋" w:eastAsia="仿宋" w:cs="仿宋"/>
                <w:sz w:val="24"/>
                <w:szCs w:val="24"/>
              </w:rPr>
            </w:pPr>
            <w:r>
              <w:rPr>
                <w:rFonts w:hint="eastAsia" w:ascii="仿宋" w:hAnsi="仿宋" w:eastAsia="仿宋" w:cs="仿宋"/>
                <w:b/>
                <w:sz w:val="24"/>
                <w:szCs w:val="24"/>
              </w:rPr>
              <w:t>考察建模能力</w:t>
            </w:r>
          </w:p>
          <w:p>
            <w:pPr>
              <w:pStyle w:val="6"/>
              <w:numPr>
                <w:ilvl w:val="0"/>
                <w:numId w:val="3"/>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鼓励企业或项目在创建模型时基于BIM标准及BIM应用点进行合理的数据构造规划；</w:t>
            </w:r>
          </w:p>
          <w:p>
            <w:pPr>
              <w:pStyle w:val="6"/>
              <w:numPr>
                <w:ilvl w:val="0"/>
                <w:numId w:val="3"/>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构造具体应用点数据的技术流程；</w:t>
            </w:r>
          </w:p>
          <w:p>
            <w:pPr>
              <w:pStyle w:val="6"/>
              <w:numPr>
                <w:ilvl w:val="0"/>
                <w:numId w:val="3"/>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创建的模型应有如下特点：</w:t>
            </w:r>
          </w:p>
          <w:p>
            <w:pPr>
              <w:pStyle w:val="6"/>
              <w:numPr>
                <w:ilvl w:val="0"/>
                <w:numId w:val="4"/>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能够指导BIM应用点的实施，达到应用目的；</w:t>
            </w:r>
          </w:p>
          <w:p>
            <w:pPr>
              <w:pStyle w:val="6"/>
              <w:numPr>
                <w:ilvl w:val="0"/>
                <w:numId w:val="4"/>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反映企业或项目制定的BIM标准。</w:t>
            </w:r>
          </w:p>
        </w:tc>
        <w:tc>
          <w:tcPr>
            <w:tcW w:w="709" w:type="dxa"/>
            <w:vAlign w:val="center"/>
          </w:tcPr>
          <w:p>
            <w:pPr>
              <w:spacing w:line="276" w:lineRule="auto"/>
              <w:jc w:val="center"/>
              <w:rPr>
                <w:rFonts w:hint="eastAsia" w:ascii="仿宋" w:hAnsi="仿宋" w:eastAsia="仿宋" w:cs="仿宋"/>
                <w:bCs/>
                <w:sz w:val="24"/>
                <w:szCs w:val="24"/>
              </w:rPr>
            </w:pPr>
            <w:r>
              <w:rPr>
                <w:rFonts w:hint="eastAsia" w:ascii="仿宋" w:hAnsi="仿宋" w:eastAsia="仿宋" w:cs="仿宋"/>
                <w:bCs/>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2" w:hRule="atLeast"/>
          <w:jc w:val="center"/>
        </w:trPr>
        <w:tc>
          <w:tcPr>
            <w:tcW w:w="704" w:type="dxa"/>
            <w:vAlign w:val="center"/>
          </w:tcPr>
          <w:p>
            <w:pPr>
              <w:tabs>
                <w:tab w:val="left" w:pos="317"/>
              </w:tabs>
              <w:spacing w:line="276" w:lineRule="auto"/>
              <w:jc w:val="center"/>
              <w:rPr>
                <w:rFonts w:ascii="宋体" w:hAnsi="宋体" w:cs="宋体"/>
                <w:szCs w:val="18"/>
              </w:rPr>
            </w:pPr>
            <w:r>
              <w:rPr>
                <w:rFonts w:hint="eastAsia" w:ascii="宋体" w:hAnsi="宋体" w:cs="宋体"/>
                <w:szCs w:val="18"/>
              </w:rPr>
              <w:t>3</w:t>
            </w:r>
          </w:p>
        </w:tc>
        <w:tc>
          <w:tcPr>
            <w:tcW w:w="709" w:type="dxa"/>
            <w:vAlign w:val="center"/>
          </w:tcPr>
          <w:p>
            <w:pPr>
              <w:spacing w:line="276" w:lineRule="auto"/>
              <w:jc w:val="center"/>
              <w:rPr>
                <w:rFonts w:hint="eastAsia" w:ascii="仿宋" w:hAnsi="仿宋" w:eastAsia="仿宋" w:cs="仿宋"/>
                <w:sz w:val="24"/>
                <w:szCs w:val="24"/>
              </w:rPr>
            </w:pPr>
            <w:r>
              <w:rPr>
                <w:rFonts w:hint="eastAsia" w:ascii="仿宋" w:hAnsi="仿宋" w:eastAsia="仿宋" w:cs="仿宋"/>
                <w:sz w:val="24"/>
                <w:szCs w:val="24"/>
              </w:rPr>
              <w:t>BIM应用广度</w:t>
            </w:r>
          </w:p>
        </w:tc>
        <w:tc>
          <w:tcPr>
            <w:tcW w:w="6804" w:type="dxa"/>
            <w:vAlign w:val="center"/>
          </w:tcPr>
          <w:p>
            <w:pPr>
              <w:spacing w:line="276" w:lineRule="auto"/>
              <w:rPr>
                <w:rFonts w:hint="eastAsia" w:ascii="仿宋" w:hAnsi="仿宋" w:eastAsia="仿宋" w:cs="仿宋"/>
                <w:b/>
                <w:sz w:val="24"/>
                <w:szCs w:val="24"/>
              </w:rPr>
            </w:pPr>
            <w:r>
              <w:rPr>
                <w:rFonts w:hint="eastAsia" w:ascii="仿宋" w:hAnsi="仿宋" w:eastAsia="仿宋" w:cs="仿宋"/>
                <w:b/>
                <w:sz w:val="24"/>
                <w:szCs w:val="24"/>
              </w:rPr>
              <w:t>考察BIM应用广度</w:t>
            </w:r>
          </w:p>
          <w:p>
            <w:pPr>
              <w:pStyle w:val="6"/>
              <w:numPr>
                <w:ilvl w:val="0"/>
                <w:numId w:val="5"/>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鼓励企业或项目BIM应用多方面发展，开展多维度的BIM探索应用；</w:t>
            </w:r>
          </w:p>
          <w:p>
            <w:pPr>
              <w:pStyle w:val="6"/>
              <w:numPr>
                <w:ilvl w:val="0"/>
                <w:numId w:val="5"/>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 xml:space="preserve">实施的BIM应用点应经过详细的实施规划，能够指导对应BIM应用点的实施工作； </w:t>
            </w:r>
          </w:p>
          <w:p>
            <w:pPr>
              <w:pStyle w:val="6"/>
              <w:numPr>
                <w:ilvl w:val="0"/>
                <w:numId w:val="5"/>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规划的BIM应用点在经过项目的实践后，技术可行、流程可执行、实际探索过程中总结出相关的BIM应用经验或教训。</w:t>
            </w:r>
          </w:p>
        </w:tc>
        <w:tc>
          <w:tcPr>
            <w:tcW w:w="709" w:type="dxa"/>
            <w:vAlign w:val="center"/>
          </w:tcPr>
          <w:p>
            <w:pPr>
              <w:spacing w:line="276" w:lineRule="auto"/>
              <w:jc w:val="center"/>
              <w:rPr>
                <w:rFonts w:hint="eastAsia" w:ascii="仿宋" w:hAnsi="仿宋" w:eastAsia="仿宋" w:cs="仿宋"/>
                <w:bCs/>
                <w:sz w:val="24"/>
                <w:szCs w:val="24"/>
              </w:rPr>
            </w:pPr>
            <w:r>
              <w:rPr>
                <w:rFonts w:hint="eastAsia" w:ascii="仿宋" w:hAnsi="仿宋" w:eastAsia="仿宋" w:cs="仿宋"/>
                <w:bCs/>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704" w:type="dxa"/>
            <w:vAlign w:val="center"/>
          </w:tcPr>
          <w:p>
            <w:pPr>
              <w:tabs>
                <w:tab w:val="left" w:pos="317"/>
              </w:tabs>
              <w:spacing w:line="276" w:lineRule="auto"/>
              <w:jc w:val="center"/>
              <w:rPr>
                <w:rFonts w:ascii="宋体" w:hAnsi="宋体" w:cs="宋体"/>
                <w:szCs w:val="18"/>
              </w:rPr>
            </w:pPr>
            <w:r>
              <w:rPr>
                <w:rFonts w:hint="eastAsia" w:ascii="宋体" w:hAnsi="宋体" w:cs="宋体"/>
                <w:szCs w:val="18"/>
              </w:rPr>
              <w:t>4</w:t>
            </w:r>
          </w:p>
        </w:tc>
        <w:tc>
          <w:tcPr>
            <w:tcW w:w="709" w:type="dxa"/>
            <w:vAlign w:val="center"/>
          </w:tcPr>
          <w:p>
            <w:pPr>
              <w:spacing w:line="276" w:lineRule="auto"/>
              <w:jc w:val="center"/>
              <w:rPr>
                <w:rFonts w:hint="eastAsia" w:ascii="仿宋" w:hAnsi="仿宋" w:eastAsia="仿宋" w:cs="仿宋"/>
                <w:sz w:val="24"/>
                <w:szCs w:val="24"/>
              </w:rPr>
            </w:pPr>
            <w:r>
              <w:rPr>
                <w:rFonts w:hint="eastAsia" w:ascii="仿宋" w:hAnsi="仿宋" w:eastAsia="仿宋" w:cs="仿宋"/>
                <w:sz w:val="24"/>
                <w:szCs w:val="24"/>
              </w:rPr>
              <w:t>BIM应用深度</w:t>
            </w:r>
          </w:p>
        </w:tc>
        <w:tc>
          <w:tcPr>
            <w:tcW w:w="6804" w:type="dxa"/>
            <w:vAlign w:val="center"/>
          </w:tcPr>
          <w:p>
            <w:pPr>
              <w:spacing w:line="276" w:lineRule="auto"/>
              <w:rPr>
                <w:rFonts w:hint="eastAsia" w:ascii="仿宋" w:hAnsi="仿宋" w:eastAsia="仿宋" w:cs="仿宋"/>
                <w:sz w:val="24"/>
                <w:szCs w:val="24"/>
              </w:rPr>
            </w:pPr>
            <w:r>
              <w:rPr>
                <w:rFonts w:hint="eastAsia" w:ascii="仿宋" w:hAnsi="仿宋" w:eastAsia="仿宋" w:cs="仿宋"/>
                <w:b/>
                <w:bCs/>
                <w:sz w:val="24"/>
                <w:szCs w:val="24"/>
              </w:rPr>
              <w:t>考察BIM应用落地深度</w:t>
            </w:r>
          </w:p>
          <w:p>
            <w:pPr>
              <w:pStyle w:val="6"/>
              <w:numPr>
                <w:ilvl w:val="0"/>
                <w:numId w:val="6"/>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鼓励企业或项目对落地的BIM应用点进行实践和方法论总结；</w:t>
            </w:r>
          </w:p>
          <w:p>
            <w:pPr>
              <w:pStyle w:val="6"/>
              <w:numPr>
                <w:ilvl w:val="0"/>
                <w:numId w:val="6"/>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实施的BIM应用点应经过详细的实施规划，可以包括如下的内容：应用目标、应用流程、技术途径、数据管理、人员能力要求、协同配合、保障体系、效益评估方法等；</w:t>
            </w:r>
          </w:p>
          <w:p>
            <w:pPr>
              <w:pStyle w:val="6"/>
              <w:numPr>
                <w:ilvl w:val="0"/>
                <w:numId w:val="6"/>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项目最成熟的BIM应用点，经过深入项目实践，技术可行、流程可执行、实际产生重大价值；</w:t>
            </w:r>
          </w:p>
          <w:p>
            <w:pPr>
              <w:pStyle w:val="6"/>
              <w:numPr>
                <w:ilvl w:val="0"/>
                <w:numId w:val="6"/>
              </w:numPr>
              <w:spacing w:line="276" w:lineRule="auto"/>
              <w:ind w:firstLineChars="0"/>
              <w:rPr>
                <w:rFonts w:hint="eastAsia" w:ascii="仿宋" w:hAnsi="仿宋" w:eastAsia="仿宋" w:cs="仿宋"/>
                <w:sz w:val="24"/>
                <w:szCs w:val="24"/>
              </w:rPr>
            </w:pPr>
            <w:r>
              <w:rPr>
                <w:rFonts w:hint="eastAsia" w:ascii="仿宋" w:hAnsi="仿宋" w:eastAsia="仿宋" w:cs="仿宋"/>
                <w:sz w:val="24"/>
                <w:szCs w:val="24"/>
              </w:rPr>
              <w:t>实施的BIM应用点经过深入的项目实践验证，总结了一套书面的方法体系，并具有可推广性、复制性。</w:t>
            </w:r>
          </w:p>
        </w:tc>
        <w:tc>
          <w:tcPr>
            <w:tcW w:w="709" w:type="dxa"/>
            <w:vAlign w:val="center"/>
          </w:tcPr>
          <w:p>
            <w:pPr>
              <w:spacing w:line="276" w:lineRule="auto"/>
              <w:jc w:val="center"/>
              <w:rPr>
                <w:rFonts w:hint="eastAsia" w:ascii="仿宋" w:hAnsi="仿宋" w:eastAsia="仿宋" w:cs="仿宋"/>
                <w:bCs/>
                <w:sz w:val="24"/>
                <w:szCs w:val="24"/>
              </w:rPr>
            </w:pPr>
            <w:r>
              <w:rPr>
                <w:rFonts w:hint="eastAsia" w:ascii="仿宋" w:hAnsi="仿宋" w:eastAsia="仿宋" w:cs="仿宋"/>
                <w:bCs/>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704" w:type="dxa"/>
            <w:vAlign w:val="center"/>
          </w:tcPr>
          <w:p>
            <w:pPr>
              <w:tabs>
                <w:tab w:val="left" w:pos="317"/>
              </w:tabs>
              <w:spacing w:line="276" w:lineRule="auto"/>
              <w:jc w:val="center"/>
              <w:rPr>
                <w:rFonts w:ascii="宋体" w:hAnsi="宋体" w:cs="宋体"/>
                <w:szCs w:val="18"/>
              </w:rPr>
            </w:pPr>
            <w:r>
              <w:rPr>
                <w:rFonts w:hint="eastAsia" w:ascii="宋体" w:hAnsi="宋体" w:cs="宋体"/>
                <w:szCs w:val="18"/>
              </w:rPr>
              <w:t>5</w:t>
            </w:r>
          </w:p>
        </w:tc>
        <w:tc>
          <w:tcPr>
            <w:tcW w:w="709" w:type="dxa"/>
            <w:vAlign w:val="center"/>
          </w:tcPr>
          <w:p>
            <w:pPr>
              <w:spacing w:line="276" w:lineRule="auto"/>
              <w:rPr>
                <w:rFonts w:hint="eastAsia" w:ascii="仿宋" w:hAnsi="仿宋" w:eastAsia="仿宋" w:cs="仿宋"/>
                <w:sz w:val="24"/>
                <w:szCs w:val="24"/>
              </w:rPr>
            </w:pPr>
            <w:r>
              <w:rPr>
                <w:rFonts w:hint="eastAsia" w:ascii="仿宋" w:hAnsi="仿宋" w:eastAsia="仿宋" w:cs="仿宋"/>
                <w:sz w:val="24"/>
                <w:szCs w:val="24"/>
                <w:lang w:eastAsia="zh-CN"/>
              </w:rPr>
              <w:t>其他</w:t>
            </w:r>
            <w:r>
              <w:rPr>
                <w:rFonts w:hint="eastAsia" w:ascii="仿宋" w:hAnsi="仿宋" w:eastAsia="仿宋" w:cs="仿宋"/>
                <w:sz w:val="24"/>
                <w:szCs w:val="24"/>
              </w:rPr>
              <w:t>项</w:t>
            </w:r>
          </w:p>
        </w:tc>
        <w:tc>
          <w:tcPr>
            <w:tcW w:w="6804" w:type="dxa"/>
            <w:vAlign w:val="center"/>
          </w:tcPr>
          <w:p>
            <w:pPr>
              <w:spacing w:line="276" w:lineRule="auto"/>
              <w:rPr>
                <w:rFonts w:hint="eastAsia" w:ascii="仿宋" w:hAnsi="仿宋" w:eastAsia="仿宋" w:cs="仿宋"/>
                <w:b/>
                <w:bCs/>
                <w:sz w:val="24"/>
                <w:szCs w:val="24"/>
              </w:rPr>
            </w:pPr>
            <w:r>
              <w:rPr>
                <w:rFonts w:hint="eastAsia" w:ascii="仿宋" w:hAnsi="仿宋" w:eastAsia="仿宋" w:cs="仿宋"/>
                <w:b/>
                <w:bCs/>
                <w:sz w:val="24"/>
                <w:szCs w:val="24"/>
              </w:rPr>
              <w:t>考察BIM应用落地能力及创新能力</w:t>
            </w:r>
          </w:p>
          <w:p>
            <w:pPr>
              <w:pStyle w:val="5"/>
              <w:numPr>
                <w:ilvl w:val="0"/>
                <w:numId w:val="7"/>
              </w:numPr>
              <w:autoSpaceDE/>
              <w:autoSpaceDN/>
              <w:spacing w:line="276" w:lineRule="auto"/>
              <w:ind w:firstLineChars="0"/>
              <w:jc w:val="both"/>
              <w:rPr>
                <w:rFonts w:hint="eastAsia" w:ascii="仿宋" w:hAnsi="仿宋" w:eastAsia="仿宋" w:cs="仿宋"/>
                <w:bCs/>
                <w:sz w:val="24"/>
                <w:szCs w:val="24"/>
              </w:rPr>
            </w:pPr>
            <w:r>
              <w:rPr>
                <w:rFonts w:hint="eastAsia" w:ascii="仿宋" w:hAnsi="仿宋" w:eastAsia="仿宋" w:cs="仿宋"/>
                <w:bCs/>
                <w:sz w:val="24"/>
                <w:szCs w:val="24"/>
              </w:rPr>
              <w:t>通过专家评估发掘项目BIM落地价值点及创新点；</w:t>
            </w:r>
          </w:p>
          <w:p>
            <w:pPr>
              <w:pStyle w:val="5"/>
              <w:numPr>
                <w:ilvl w:val="0"/>
                <w:numId w:val="7"/>
              </w:numPr>
              <w:autoSpaceDE/>
              <w:autoSpaceDN/>
              <w:spacing w:line="276" w:lineRule="auto"/>
              <w:ind w:firstLineChars="0"/>
              <w:jc w:val="both"/>
              <w:rPr>
                <w:rFonts w:hint="eastAsia" w:ascii="仿宋" w:hAnsi="仿宋" w:eastAsia="仿宋" w:cs="仿宋"/>
                <w:bCs/>
                <w:sz w:val="24"/>
                <w:szCs w:val="24"/>
              </w:rPr>
            </w:pPr>
            <w:r>
              <w:rPr>
                <w:rFonts w:hint="eastAsia" w:ascii="仿宋" w:hAnsi="仿宋" w:eastAsia="仿宋" w:cs="仿宋"/>
                <w:bCs/>
                <w:sz w:val="24"/>
                <w:szCs w:val="24"/>
              </w:rPr>
              <w:t>奖项、论文等；</w:t>
            </w:r>
          </w:p>
          <w:p>
            <w:pPr>
              <w:pStyle w:val="5"/>
              <w:numPr>
                <w:ilvl w:val="0"/>
                <w:numId w:val="7"/>
              </w:numPr>
              <w:autoSpaceDE/>
              <w:autoSpaceDN/>
              <w:spacing w:line="276" w:lineRule="auto"/>
              <w:ind w:firstLineChars="0"/>
              <w:jc w:val="both"/>
              <w:rPr>
                <w:rFonts w:hint="eastAsia" w:ascii="仿宋" w:hAnsi="仿宋" w:eastAsia="仿宋" w:cs="仿宋"/>
                <w:b/>
                <w:bCs/>
                <w:sz w:val="24"/>
                <w:szCs w:val="24"/>
              </w:rPr>
            </w:pPr>
            <w:r>
              <w:rPr>
                <w:rFonts w:hint="eastAsia" w:ascii="仿宋" w:hAnsi="仿宋" w:eastAsia="仿宋" w:cs="仿宋"/>
                <w:bCs/>
                <w:sz w:val="24"/>
                <w:szCs w:val="24"/>
              </w:rPr>
              <w:t>其他亮点。</w:t>
            </w:r>
          </w:p>
        </w:tc>
        <w:tc>
          <w:tcPr>
            <w:tcW w:w="709" w:type="dxa"/>
            <w:vAlign w:val="center"/>
          </w:tcPr>
          <w:p>
            <w:pPr>
              <w:spacing w:line="276" w:lineRule="auto"/>
              <w:jc w:val="center"/>
              <w:rPr>
                <w:rFonts w:hint="eastAsia" w:ascii="仿宋" w:hAnsi="仿宋" w:eastAsia="仿宋" w:cs="仿宋"/>
                <w:bCs/>
                <w:sz w:val="24"/>
                <w:szCs w:val="24"/>
              </w:rPr>
            </w:pPr>
            <w:r>
              <w:rPr>
                <w:rFonts w:hint="eastAsia" w:ascii="仿宋" w:hAnsi="仿宋" w:eastAsia="仿宋" w:cs="仿宋"/>
                <w:bCs/>
                <w:sz w:val="24"/>
                <w:szCs w:val="24"/>
              </w:rPr>
              <w:t>10%</w:t>
            </w:r>
          </w:p>
        </w:tc>
      </w:tr>
    </w:tbl>
    <w:p>
      <w:pPr>
        <w:pStyle w:val="2"/>
        <w:spacing w:line="360" w:lineRule="auto"/>
        <w:ind w:left="0" w:firstLine="548" w:firstLineChars="200"/>
        <w:jc w:val="both"/>
        <w:rPr>
          <w:rFonts w:ascii="仿宋" w:hAnsi="仿宋" w:eastAsia="仿宋" w:cs="仿宋_GB2312"/>
          <w:spacing w:val="-3"/>
          <w:sz w:val="28"/>
          <w:szCs w:val="28"/>
        </w:rPr>
      </w:pPr>
    </w:p>
    <w:p>
      <w:pPr>
        <w:pStyle w:val="5"/>
        <w:numPr>
          <w:ilvl w:val="0"/>
          <w:numId w:val="0"/>
        </w:numPr>
        <w:spacing w:line="360" w:lineRule="auto"/>
        <w:ind w:leftChars="0"/>
        <w:outlineLvl w:val="0"/>
        <w:rPr>
          <w:rFonts w:ascii="仿宋" w:hAnsi="仿宋" w:eastAsia="仿宋" w:cs="仿宋_GB2312"/>
          <w:b/>
          <w:bCs/>
          <w:spacing w:val="-3"/>
          <w:sz w:val="32"/>
          <w:szCs w:val="32"/>
        </w:rPr>
      </w:pPr>
      <w:r>
        <w:rPr>
          <w:rFonts w:hint="eastAsia" w:ascii="仿宋" w:hAnsi="仿宋" w:eastAsia="仿宋" w:cs="仿宋_GB2312"/>
          <w:b/>
          <w:bCs/>
          <w:spacing w:val="-3"/>
          <w:sz w:val="32"/>
          <w:szCs w:val="32"/>
          <w:lang w:eastAsia="zh-CN"/>
        </w:rPr>
        <w:t>五、</w:t>
      </w:r>
      <w:r>
        <w:rPr>
          <w:rFonts w:hint="eastAsia" w:ascii="仿宋" w:hAnsi="仿宋" w:eastAsia="仿宋" w:cs="仿宋_GB2312"/>
          <w:b/>
          <w:bCs/>
          <w:spacing w:val="-3"/>
          <w:sz w:val="32"/>
          <w:szCs w:val="32"/>
        </w:rPr>
        <w:t>评比规范</w:t>
      </w:r>
    </w:p>
    <w:p>
      <w:pPr>
        <w:pStyle w:val="2"/>
        <w:spacing w:line="360" w:lineRule="auto"/>
        <w:ind w:left="0"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在大赛截稿进入评比阶段后，由主办单位</w:t>
      </w:r>
      <w:r>
        <w:rPr>
          <w:rFonts w:hint="eastAsia" w:ascii="仿宋" w:hAnsi="仿宋" w:eastAsia="仿宋" w:cs="仿宋_GB2312"/>
          <w:spacing w:val="-3"/>
          <w:sz w:val="32"/>
          <w:szCs w:val="32"/>
        </w:rPr>
        <w:t>组建专家</w:t>
      </w:r>
      <w:r>
        <w:rPr>
          <w:rFonts w:ascii="仿宋" w:hAnsi="仿宋" w:eastAsia="仿宋" w:cs="仿宋_GB2312"/>
          <w:spacing w:val="-3"/>
          <w:sz w:val="32"/>
          <w:szCs w:val="32"/>
        </w:rPr>
        <w:t>评委组，对所有参赛成果进行评比，评比分为初评和终评答辩两个阶段，最终</w:t>
      </w:r>
      <w:r>
        <w:rPr>
          <w:rFonts w:hint="eastAsia" w:ascii="仿宋" w:hAnsi="仿宋" w:eastAsia="仿宋" w:cs="仿宋_GB2312"/>
          <w:spacing w:val="-3"/>
          <w:sz w:val="32"/>
          <w:szCs w:val="32"/>
          <w:lang w:eastAsia="zh-CN"/>
        </w:rPr>
        <w:t>确定</w:t>
      </w:r>
      <w:r>
        <w:rPr>
          <w:rFonts w:ascii="仿宋" w:hAnsi="仿宋" w:eastAsia="仿宋" w:cs="仿宋_GB2312"/>
          <w:spacing w:val="-3"/>
          <w:sz w:val="32"/>
          <w:szCs w:val="32"/>
        </w:rPr>
        <w:t>参赛成果的排名和奖项。</w:t>
      </w:r>
    </w:p>
    <w:p>
      <w:pPr>
        <w:pStyle w:val="2"/>
        <w:numPr>
          <w:ilvl w:val="0"/>
          <w:numId w:val="8"/>
        </w:numPr>
        <w:spacing w:line="360" w:lineRule="auto"/>
        <w:jc w:val="both"/>
        <w:rPr>
          <w:rFonts w:ascii="仿宋" w:hAnsi="仿宋" w:eastAsia="仿宋" w:cs="仿宋_GB2312"/>
          <w:b/>
          <w:bCs/>
          <w:sz w:val="32"/>
          <w:szCs w:val="32"/>
        </w:rPr>
      </w:pPr>
      <w:r>
        <w:rPr>
          <w:rFonts w:ascii="仿宋" w:hAnsi="仿宋" w:eastAsia="仿宋" w:cs="仿宋_GB2312"/>
          <w:b/>
          <w:bCs/>
          <w:sz w:val="32"/>
          <w:szCs w:val="32"/>
        </w:rPr>
        <w:t>初评</w:t>
      </w:r>
    </w:p>
    <w:p>
      <w:pPr>
        <w:pStyle w:val="2"/>
        <w:spacing w:line="360" w:lineRule="auto"/>
        <w:ind w:left="0"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所有参赛成果按设计组、施工组和综合组分三组由专家评委组成员评比出各项参赛成果的平均分并进行成绩排序，在各组别中按成绩排序取前65%的参赛成果入围获奖名单；依据得分高低取其各组成绩前30%的参赛成果进入终评，其余为三等奖。</w:t>
      </w:r>
    </w:p>
    <w:p>
      <w:pPr>
        <w:pStyle w:val="2"/>
        <w:numPr>
          <w:ilvl w:val="0"/>
          <w:numId w:val="8"/>
        </w:numPr>
        <w:spacing w:line="360" w:lineRule="auto"/>
        <w:jc w:val="both"/>
        <w:rPr>
          <w:rFonts w:ascii="仿宋" w:hAnsi="仿宋" w:eastAsia="仿宋" w:cs="仿宋_GB2312"/>
          <w:b/>
          <w:bCs/>
          <w:sz w:val="32"/>
          <w:szCs w:val="32"/>
        </w:rPr>
      </w:pPr>
      <w:r>
        <w:rPr>
          <w:rFonts w:ascii="仿宋" w:hAnsi="仿宋" w:eastAsia="仿宋" w:cs="仿宋_GB2312"/>
          <w:b/>
          <w:bCs/>
          <w:sz w:val="32"/>
          <w:szCs w:val="32"/>
        </w:rPr>
        <w:t>终评</w:t>
      </w:r>
    </w:p>
    <w:p>
      <w:pPr>
        <w:pStyle w:val="2"/>
        <w:spacing w:line="360" w:lineRule="auto"/>
        <w:ind w:left="0"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终评采用初评成绩排序前30%的参赛成果分组进行展示和答辩。每个参赛成果用1</w:t>
      </w:r>
      <w:r>
        <w:rPr>
          <w:rFonts w:hint="eastAsia" w:ascii="仿宋" w:hAnsi="仿宋" w:eastAsia="仿宋" w:cs="仿宋_GB2312"/>
          <w:spacing w:val="-3"/>
          <w:sz w:val="32"/>
          <w:szCs w:val="32"/>
        </w:rPr>
        <w:t>0</w:t>
      </w:r>
      <w:r>
        <w:rPr>
          <w:rFonts w:ascii="仿宋" w:hAnsi="仿宋" w:eastAsia="仿宋" w:cs="仿宋_GB2312"/>
          <w:spacing w:val="-3"/>
          <w:sz w:val="32"/>
          <w:szCs w:val="32"/>
        </w:rPr>
        <w:t>分钟进行</w:t>
      </w:r>
      <w:r>
        <w:rPr>
          <w:rFonts w:hint="eastAsia" w:ascii="仿宋" w:hAnsi="仿宋" w:eastAsia="仿宋" w:cs="仿宋_GB2312"/>
          <w:spacing w:val="-3"/>
          <w:sz w:val="32"/>
          <w:szCs w:val="32"/>
        </w:rPr>
        <w:t>PPT汇报</w:t>
      </w:r>
      <w:r>
        <w:rPr>
          <w:rFonts w:ascii="仿宋" w:hAnsi="仿宋" w:eastAsia="仿宋" w:cs="仿宋_GB2312"/>
          <w:spacing w:val="-3"/>
          <w:sz w:val="32"/>
          <w:szCs w:val="32"/>
        </w:rPr>
        <w:t>，专家评委组将根据成果展示情况提出问题，由参赛团队进行现场答辩，答辩时间为1</w:t>
      </w:r>
      <w:r>
        <w:rPr>
          <w:rFonts w:hint="eastAsia" w:ascii="仿宋" w:hAnsi="仿宋" w:eastAsia="仿宋" w:cs="仿宋_GB2312"/>
          <w:spacing w:val="-3"/>
          <w:sz w:val="32"/>
          <w:szCs w:val="32"/>
        </w:rPr>
        <w:t>0</w:t>
      </w:r>
      <w:r>
        <w:rPr>
          <w:rFonts w:ascii="仿宋" w:hAnsi="仿宋" w:eastAsia="仿宋" w:cs="仿宋_GB2312"/>
          <w:spacing w:val="-3"/>
          <w:sz w:val="32"/>
          <w:szCs w:val="32"/>
        </w:rPr>
        <w:t>分钟。最后由专家评委组成员分别给与评分，参赛成果将依照专家评委组成员平均分获得最终评分，按得分从高到低排序最终评比出一等奖和二等奖。</w:t>
      </w:r>
    </w:p>
    <w:p>
      <w:pPr>
        <w:pStyle w:val="2"/>
        <w:numPr>
          <w:ilvl w:val="0"/>
          <w:numId w:val="8"/>
        </w:numPr>
        <w:spacing w:line="360" w:lineRule="auto"/>
        <w:jc w:val="both"/>
        <w:rPr>
          <w:rFonts w:ascii="仿宋" w:hAnsi="仿宋" w:eastAsia="仿宋" w:cs="仿宋_GB2312"/>
          <w:b/>
          <w:bCs/>
          <w:sz w:val="32"/>
          <w:szCs w:val="32"/>
        </w:rPr>
      </w:pPr>
      <w:r>
        <w:rPr>
          <w:rFonts w:ascii="仿宋" w:hAnsi="仿宋" w:eastAsia="仿宋" w:cs="仿宋_GB2312"/>
          <w:b/>
          <w:bCs/>
          <w:sz w:val="32"/>
          <w:szCs w:val="32"/>
        </w:rPr>
        <w:t>最佳应用企业奖</w:t>
      </w:r>
    </w:p>
    <w:p>
      <w:pPr>
        <w:pStyle w:val="2"/>
        <w:spacing w:line="360" w:lineRule="auto"/>
        <w:ind w:left="0"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各组参赛成果得分最高者所在参赛单位将获得此奖。同一参赛单位不重复获得；如出现同一参赛单位在不同组别均获得第一名成绩时，则取该参赛单位得分最高的参赛成果所在组别获得此奖，另一组别则由得分次高的参赛单位获得。</w:t>
      </w:r>
    </w:p>
    <w:p>
      <w:pPr>
        <w:pStyle w:val="5"/>
        <w:numPr>
          <w:ilvl w:val="0"/>
          <w:numId w:val="0"/>
        </w:numPr>
        <w:spacing w:line="360" w:lineRule="auto"/>
        <w:ind w:leftChars="0"/>
        <w:outlineLvl w:val="0"/>
        <w:rPr>
          <w:rFonts w:ascii="仿宋" w:hAnsi="仿宋" w:eastAsia="仿宋" w:cs="仿宋_GB2312"/>
          <w:b/>
          <w:bCs/>
          <w:spacing w:val="-3"/>
          <w:sz w:val="32"/>
          <w:szCs w:val="32"/>
        </w:rPr>
      </w:pPr>
      <w:r>
        <w:rPr>
          <w:rFonts w:hint="eastAsia" w:ascii="仿宋" w:hAnsi="仿宋" w:eastAsia="仿宋" w:cs="仿宋_GB2312"/>
          <w:b/>
          <w:bCs/>
          <w:spacing w:val="-3"/>
          <w:sz w:val="32"/>
          <w:szCs w:val="32"/>
          <w:lang w:eastAsia="zh-CN"/>
        </w:rPr>
        <w:t>六、</w:t>
      </w:r>
      <w:r>
        <w:rPr>
          <w:rFonts w:hint="eastAsia" w:ascii="仿宋" w:hAnsi="仿宋" w:eastAsia="仿宋" w:cs="仿宋_GB2312"/>
          <w:b/>
          <w:bCs/>
          <w:spacing w:val="-3"/>
          <w:sz w:val="32"/>
          <w:szCs w:val="32"/>
        </w:rPr>
        <w:t>版权相关</w:t>
      </w:r>
    </w:p>
    <w:p>
      <w:pPr>
        <w:pStyle w:val="2"/>
        <w:spacing w:line="360" w:lineRule="auto"/>
        <w:ind w:left="0" w:firstLine="628" w:firstLineChars="200"/>
        <w:jc w:val="both"/>
        <w:rPr>
          <w:rFonts w:ascii="仿宋" w:hAnsi="仿宋" w:eastAsia="仿宋" w:cs="仿宋_GB2312"/>
          <w:spacing w:val="-3"/>
          <w:sz w:val="32"/>
          <w:szCs w:val="32"/>
        </w:rPr>
      </w:pPr>
      <w:r>
        <w:rPr>
          <w:rFonts w:ascii="仿宋" w:hAnsi="仿宋" w:eastAsia="仿宋" w:cs="仿宋_GB2312"/>
          <w:spacing w:val="-3"/>
          <w:sz w:val="32"/>
          <w:szCs w:val="32"/>
        </w:rPr>
        <w:t>参赛者必须保证成果的原创性，不得抄袭、剽窃他人成果，不得侵犯任何第三方的知识产权或其他权利，参赛单位和个人应对其所提交的成果承担全部责任。一旦发现参赛成果涉及侵权、抄袭等行为，即取消其参赛</w:t>
      </w:r>
      <w:r>
        <w:rPr>
          <w:rFonts w:hint="eastAsia" w:ascii="仿宋" w:hAnsi="仿宋" w:eastAsia="仿宋" w:cs="仿宋_GB2312"/>
          <w:spacing w:val="-3"/>
          <w:sz w:val="32"/>
          <w:szCs w:val="32"/>
        </w:rPr>
        <w:t>及获奖</w:t>
      </w:r>
      <w:r>
        <w:rPr>
          <w:rFonts w:ascii="仿宋" w:hAnsi="仿宋" w:eastAsia="仿宋" w:cs="仿宋_GB2312"/>
          <w:spacing w:val="-3"/>
          <w:sz w:val="32"/>
          <w:szCs w:val="32"/>
        </w:rPr>
        <w:t>资格，所产生的法律责任概由其自行承担。</w:t>
      </w:r>
    </w:p>
    <w:p>
      <w:pPr>
        <w:pStyle w:val="5"/>
        <w:numPr>
          <w:ilvl w:val="0"/>
          <w:numId w:val="0"/>
        </w:numPr>
        <w:spacing w:line="360" w:lineRule="auto"/>
        <w:ind w:leftChars="0"/>
        <w:outlineLvl w:val="0"/>
        <w:rPr>
          <w:rFonts w:ascii="仿宋" w:hAnsi="仿宋" w:eastAsia="仿宋" w:cs="仿宋_GB2312"/>
          <w:b/>
          <w:bCs/>
          <w:spacing w:val="-3"/>
          <w:sz w:val="32"/>
          <w:szCs w:val="32"/>
        </w:rPr>
      </w:pPr>
      <w:r>
        <w:rPr>
          <w:rFonts w:hint="eastAsia" w:ascii="仿宋" w:hAnsi="仿宋" w:eastAsia="仿宋" w:cs="仿宋_GB2312"/>
          <w:b/>
          <w:bCs/>
          <w:spacing w:val="-3"/>
          <w:sz w:val="32"/>
          <w:szCs w:val="32"/>
          <w:lang w:eastAsia="zh-CN"/>
        </w:rPr>
        <w:t>七、</w:t>
      </w:r>
      <w:r>
        <w:rPr>
          <w:rFonts w:hint="eastAsia" w:ascii="仿宋" w:hAnsi="仿宋" w:eastAsia="仿宋" w:cs="仿宋_GB2312"/>
          <w:b/>
          <w:bCs/>
          <w:spacing w:val="-3"/>
          <w:sz w:val="32"/>
          <w:szCs w:val="32"/>
        </w:rPr>
        <w:t>解释权</w:t>
      </w:r>
    </w:p>
    <w:p>
      <w:pPr>
        <w:pStyle w:val="2"/>
        <w:spacing w:line="360" w:lineRule="auto"/>
        <w:ind w:left="0" w:firstLine="628" w:firstLineChars="200"/>
        <w:jc w:val="both"/>
        <w:rPr>
          <w:rFonts w:hint="eastAsia" w:ascii="仿宋" w:hAnsi="仿宋" w:eastAsia="仿宋" w:cs="仿宋_GB2312"/>
          <w:spacing w:val="-3"/>
          <w:sz w:val="32"/>
          <w:szCs w:val="32"/>
        </w:rPr>
      </w:pPr>
      <w:r>
        <w:rPr>
          <w:rFonts w:ascii="仿宋" w:hAnsi="仿宋" w:eastAsia="仿宋" w:cs="仿宋_GB2312"/>
          <w:spacing w:val="-3"/>
          <w:sz w:val="32"/>
          <w:szCs w:val="32"/>
        </w:rPr>
        <w:t>本次建筑信息模型（BIM）技术应用大赛的比赛办法由厦门市土木建筑学会数字产业化创新分会负责</w:t>
      </w:r>
      <w:r>
        <w:rPr>
          <w:rFonts w:hint="eastAsia" w:ascii="仿宋" w:hAnsi="仿宋" w:eastAsia="仿宋" w:cs="仿宋_GB2312"/>
          <w:spacing w:val="-3"/>
          <w:sz w:val="32"/>
          <w:szCs w:val="32"/>
        </w:rPr>
        <w:t>解释。</w:t>
      </w:r>
    </w:p>
    <w:p>
      <w:pPr>
        <w:pStyle w:val="2"/>
        <w:spacing w:line="360" w:lineRule="auto"/>
        <w:ind w:left="0" w:firstLine="628" w:firstLineChars="200"/>
        <w:jc w:val="both"/>
        <w:rPr>
          <w:rFonts w:hint="eastAsia" w:ascii="仿宋" w:hAnsi="仿宋" w:eastAsia="仿宋" w:cs="仿宋_GB2312"/>
          <w:spacing w:val="-3"/>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Noto Serif CJK JP">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0000000000000000000"/>
    <w:charset w:val="86"/>
    <w:family w:val="auto"/>
    <w:pitch w:val="default"/>
    <w:sig w:usb0="00000000" w:usb1="0000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光小标宋_CNKI">
    <w:altName w:val="微软雅黑"/>
    <w:panose1 w:val="00000000000000000000"/>
    <w:charset w:val="86"/>
    <w:family w:val="auto"/>
    <w:pitch w:val="default"/>
    <w:sig w:usb0="00000000" w:usb1="00000000" w:usb2="00000016" w:usb3="00000000" w:csb0="0004000F" w:csb1="00000000"/>
  </w:font>
  <w:font w:name="Wingdings 2">
    <w:panose1 w:val="05020102010507070707"/>
    <w:charset w:val="00"/>
    <w:family w:val="auto"/>
    <w:pitch w:val="default"/>
    <w:sig w:usb0="00000000" w:usb1="00000000" w:usb2="00000000" w:usb3="00000000" w:csb0="80000000" w:csb1="00000000"/>
  </w:font>
  <w:font w:name="等线">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73099"/>
    <w:multiLevelType w:val="multilevel"/>
    <w:tmpl w:val="0E77309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EF37F13"/>
    <w:multiLevelType w:val="multilevel"/>
    <w:tmpl w:val="1EF37F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F946D53"/>
    <w:multiLevelType w:val="multilevel"/>
    <w:tmpl w:val="2F946D5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D8674C6"/>
    <w:multiLevelType w:val="multilevel"/>
    <w:tmpl w:val="3D8674C6"/>
    <w:lvl w:ilvl="0" w:tentative="0">
      <w:start w:val="1"/>
      <w:numFmt w:val="chineseCountingThousand"/>
      <w:lvlText w:val="(%1)"/>
      <w:lvlJc w:val="left"/>
      <w:pPr>
        <w:ind w:left="968" w:hanging="420"/>
      </w:pPr>
    </w:lvl>
    <w:lvl w:ilvl="1" w:tentative="0">
      <w:start w:val="1"/>
      <w:numFmt w:val="lowerLetter"/>
      <w:lvlText w:val="%2)"/>
      <w:lvlJc w:val="left"/>
      <w:pPr>
        <w:ind w:left="1388" w:hanging="420"/>
      </w:pPr>
    </w:lvl>
    <w:lvl w:ilvl="2" w:tentative="0">
      <w:start w:val="1"/>
      <w:numFmt w:val="lowerRoman"/>
      <w:lvlText w:val="%3."/>
      <w:lvlJc w:val="right"/>
      <w:pPr>
        <w:ind w:left="1808" w:hanging="420"/>
      </w:pPr>
    </w:lvl>
    <w:lvl w:ilvl="3" w:tentative="0">
      <w:start w:val="1"/>
      <w:numFmt w:val="decimal"/>
      <w:lvlText w:val="%4."/>
      <w:lvlJc w:val="left"/>
      <w:pPr>
        <w:ind w:left="2228" w:hanging="420"/>
      </w:pPr>
    </w:lvl>
    <w:lvl w:ilvl="4" w:tentative="0">
      <w:start w:val="1"/>
      <w:numFmt w:val="lowerLetter"/>
      <w:lvlText w:val="%5)"/>
      <w:lvlJc w:val="left"/>
      <w:pPr>
        <w:ind w:left="2648" w:hanging="420"/>
      </w:pPr>
    </w:lvl>
    <w:lvl w:ilvl="5" w:tentative="0">
      <w:start w:val="1"/>
      <w:numFmt w:val="lowerRoman"/>
      <w:lvlText w:val="%6."/>
      <w:lvlJc w:val="right"/>
      <w:pPr>
        <w:ind w:left="3068" w:hanging="420"/>
      </w:pPr>
    </w:lvl>
    <w:lvl w:ilvl="6" w:tentative="0">
      <w:start w:val="1"/>
      <w:numFmt w:val="decimal"/>
      <w:lvlText w:val="%7."/>
      <w:lvlJc w:val="left"/>
      <w:pPr>
        <w:ind w:left="3488" w:hanging="420"/>
      </w:pPr>
    </w:lvl>
    <w:lvl w:ilvl="7" w:tentative="0">
      <w:start w:val="1"/>
      <w:numFmt w:val="lowerLetter"/>
      <w:lvlText w:val="%8)"/>
      <w:lvlJc w:val="left"/>
      <w:pPr>
        <w:ind w:left="3908" w:hanging="420"/>
      </w:pPr>
    </w:lvl>
    <w:lvl w:ilvl="8" w:tentative="0">
      <w:start w:val="1"/>
      <w:numFmt w:val="lowerRoman"/>
      <w:lvlText w:val="%9."/>
      <w:lvlJc w:val="right"/>
      <w:pPr>
        <w:ind w:left="4328" w:hanging="420"/>
      </w:pPr>
    </w:lvl>
  </w:abstractNum>
  <w:abstractNum w:abstractNumId="4">
    <w:nsid w:val="445F4569"/>
    <w:multiLevelType w:val="multilevel"/>
    <w:tmpl w:val="445F4569"/>
    <w:lvl w:ilvl="0" w:tentative="0">
      <w:start w:val="1"/>
      <w:numFmt w:val="decimal"/>
      <w:lvlText w:val="%1)"/>
      <w:lvlJc w:val="left"/>
      <w:pPr>
        <w:ind w:left="422" w:hanging="420"/>
      </w:pPr>
    </w:lvl>
    <w:lvl w:ilvl="1" w:tentative="0">
      <w:start w:val="1"/>
      <w:numFmt w:val="lowerLetter"/>
      <w:lvlText w:val="%2)"/>
      <w:lvlJc w:val="left"/>
      <w:pPr>
        <w:ind w:left="842" w:hanging="420"/>
      </w:pPr>
    </w:lvl>
    <w:lvl w:ilvl="2" w:tentative="0">
      <w:start w:val="1"/>
      <w:numFmt w:val="lowerRoman"/>
      <w:lvlText w:val="%3."/>
      <w:lvlJc w:val="right"/>
      <w:pPr>
        <w:ind w:left="1262" w:hanging="420"/>
      </w:pPr>
    </w:lvl>
    <w:lvl w:ilvl="3" w:tentative="0">
      <w:start w:val="1"/>
      <w:numFmt w:val="decimal"/>
      <w:lvlText w:val="%4."/>
      <w:lvlJc w:val="left"/>
      <w:pPr>
        <w:ind w:left="1682" w:hanging="420"/>
      </w:pPr>
    </w:lvl>
    <w:lvl w:ilvl="4" w:tentative="0">
      <w:start w:val="1"/>
      <w:numFmt w:val="lowerLetter"/>
      <w:lvlText w:val="%5)"/>
      <w:lvlJc w:val="left"/>
      <w:pPr>
        <w:ind w:left="2102" w:hanging="420"/>
      </w:pPr>
    </w:lvl>
    <w:lvl w:ilvl="5" w:tentative="0">
      <w:start w:val="1"/>
      <w:numFmt w:val="lowerRoman"/>
      <w:lvlText w:val="%6."/>
      <w:lvlJc w:val="right"/>
      <w:pPr>
        <w:ind w:left="2522" w:hanging="420"/>
      </w:pPr>
    </w:lvl>
    <w:lvl w:ilvl="6" w:tentative="0">
      <w:start w:val="1"/>
      <w:numFmt w:val="decimal"/>
      <w:lvlText w:val="%7."/>
      <w:lvlJc w:val="left"/>
      <w:pPr>
        <w:ind w:left="2942" w:hanging="420"/>
      </w:pPr>
    </w:lvl>
    <w:lvl w:ilvl="7" w:tentative="0">
      <w:start w:val="1"/>
      <w:numFmt w:val="lowerLetter"/>
      <w:lvlText w:val="%8)"/>
      <w:lvlJc w:val="left"/>
      <w:pPr>
        <w:ind w:left="3362" w:hanging="420"/>
      </w:pPr>
    </w:lvl>
    <w:lvl w:ilvl="8" w:tentative="0">
      <w:start w:val="1"/>
      <w:numFmt w:val="lowerRoman"/>
      <w:lvlText w:val="%9."/>
      <w:lvlJc w:val="right"/>
      <w:pPr>
        <w:ind w:left="3782" w:hanging="420"/>
      </w:pPr>
    </w:lvl>
  </w:abstractNum>
  <w:abstractNum w:abstractNumId="5">
    <w:nsid w:val="48C151E5"/>
    <w:multiLevelType w:val="multilevel"/>
    <w:tmpl w:val="48C151E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E036539"/>
    <w:multiLevelType w:val="multilevel"/>
    <w:tmpl w:val="5E036539"/>
    <w:lvl w:ilvl="0" w:tentative="0">
      <w:start w:val="1"/>
      <w:numFmt w:val="lowerLetter"/>
      <w:lvlText w:val="%1)"/>
      <w:lvlJc w:val="left"/>
      <w:pPr>
        <w:ind w:left="842" w:hanging="420"/>
      </w:pPr>
      <w:rPr>
        <w:rFonts w:hint="eastAsia"/>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7">
    <w:nsid w:val="7F2D3C30"/>
    <w:multiLevelType w:val="multilevel"/>
    <w:tmpl w:val="7F2D3C30"/>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4"/>
  </w:num>
  <w:num w:numId="4">
    <w:abstractNumId w:val="6"/>
  </w:num>
  <w:num w:numId="5">
    <w:abstractNumId w:val="0"/>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666CE"/>
    <w:rsid w:val="46F666C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Noto Serif CJK JP" w:hAnsi="Noto Serif CJK JP" w:eastAsia="Noto Serif CJK JP" w:cs="Noto Serif CJK JP"/>
      <w:sz w:val="22"/>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pPr>
      <w:ind w:left="560"/>
    </w:pPr>
    <w:rPr>
      <w:sz w:val="32"/>
      <w:szCs w:val="32"/>
    </w:rPr>
  </w:style>
  <w:style w:type="paragraph" w:customStyle="1" w:styleId="5">
    <w:name w:val="List Paragraph"/>
    <w:basedOn w:val="1"/>
    <w:qFormat/>
    <w:uiPriority w:val="34"/>
    <w:pPr>
      <w:ind w:firstLine="420" w:firstLineChars="200"/>
    </w:pPr>
  </w:style>
  <w:style w:type="paragraph" w:customStyle="1" w:styleId="6">
    <w:name w:val="列出段落1"/>
    <w:basedOn w:val="1"/>
    <w:qFormat/>
    <w:uiPriority w:val="34"/>
    <w:pPr>
      <w:autoSpaceDE/>
      <w:autoSpaceDN/>
      <w:ind w:firstLine="420" w:firstLineChars="200"/>
      <w:jc w:val="both"/>
    </w:pPr>
    <w:rPr>
      <w:rFonts w:asciiTheme="minorHAnsi" w:hAnsiTheme="minorHAnsi" w:eastAsiaTheme="minorEastAsia" w:cstheme="minorBidi"/>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2022-07-07T02:09:00Z</dcterms:created>
  <dc:creator>Administrator</dc:creator>
  <cp:lastModifiedBy>Administrator</cp:lastModifiedBy>
  <dcterms:modified xsi:type="dcterms:W3CDTF">2022-07-07T02:10:59Z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